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4"/>
        <w:gridCol w:w="6623"/>
        <w:gridCol w:w="1295"/>
        <w:gridCol w:w="1306"/>
        <w:gridCol w:w="1260"/>
        <w:gridCol w:w="1158"/>
        <w:gridCol w:w="1338"/>
      </w:tblGrid>
      <w:tr w:rsidR="0011509D" w:rsidTr="0011509D">
        <w:tc>
          <w:tcPr>
            <w:tcW w:w="5000" w:type="pct"/>
            <w:gridSpan w:val="7"/>
          </w:tcPr>
          <w:p w:rsidR="0011509D" w:rsidRDefault="0011509D">
            <w:pPr>
              <w:rPr>
                <w:color w:val="0000FF"/>
              </w:rPr>
            </w:pPr>
            <w:bookmarkStart w:id="0" w:name="_GoBack"/>
            <w:bookmarkEnd w:id="0"/>
          </w:p>
          <w:p w:rsidR="0011509D" w:rsidRPr="00427A40" w:rsidRDefault="0011509D" w:rsidP="0011509D">
            <w:pPr>
              <w:jc w:val="center"/>
              <w:rPr>
                <w:b/>
              </w:rPr>
            </w:pPr>
            <w:r w:rsidRPr="00427A40">
              <w:rPr>
                <w:b/>
              </w:rPr>
              <w:t>FOIA 14004</w:t>
            </w:r>
          </w:p>
          <w:p w:rsidR="0011509D" w:rsidRDefault="0011509D"/>
        </w:tc>
      </w:tr>
      <w:tr w:rsidR="005814BA" w:rsidTr="00427A40">
        <w:tc>
          <w:tcPr>
            <w:tcW w:w="479" w:type="pct"/>
          </w:tcPr>
          <w:p w:rsidR="005814BA" w:rsidRPr="0011509D" w:rsidRDefault="005814BA" w:rsidP="0011509D"/>
        </w:tc>
        <w:tc>
          <w:tcPr>
            <w:tcW w:w="2307" w:type="pct"/>
          </w:tcPr>
          <w:p w:rsidR="005814BA" w:rsidRDefault="005814BA"/>
          <w:p w:rsidR="005814BA" w:rsidRPr="0011509D" w:rsidRDefault="005814BA"/>
        </w:tc>
        <w:tc>
          <w:tcPr>
            <w:tcW w:w="451" w:type="pct"/>
          </w:tcPr>
          <w:p w:rsidR="005814BA" w:rsidRPr="00427A40" w:rsidRDefault="005814BA" w:rsidP="006B5FF3">
            <w:pPr>
              <w:rPr>
                <w:b/>
              </w:rPr>
            </w:pPr>
            <w:r w:rsidRPr="00427A40">
              <w:rPr>
                <w:b/>
              </w:rPr>
              <w:t>2012/13</w:t>
            </w:r>
          </w:p>
        </w:tc>
        <w:tc>
          <w:tcPr>
            <w:tcW w:w="455" w:type="pct"/>
          </w:tcPr>
          <w:p w:rsidR="005814BA" w:rsidRPr="00427A40" w:rsidRDefault="005814BA" w:rsidP="006B5FF3">
            <w:pPr>
              <w:rPr>
                <w:b/>
              </w:rPr>
            </w:pPr>
            <w:r w:rsidRPr="00427A40">
              <w:rPr>
                <w:b/>
              </w:rPr>
              <w:t>2013/14</w:t>
            </w:r>
          </w:p>
        </w:tc>
        <w:tc>
          <w:tcPr>
            <w:tcW w:w="439" w:type="pct"/>
          </w:tcPr>
          <w:p w:rsidR="005814BA" w:rsidRPr="00427A40" w:rsidRDefault="005814BA" w:rsidP="006B5FF3">
            <w:pPr>
              <w:rPr>
                <w:b/>
              </w:rPr>
            </w:pPr>
            <w:r w:rsidRPr="00427A40">
              <w:rPr>
                <w:b/>
              </w:rPr>
              <w:t>2014/15</w:t>
            </w:r>
          </w:p>
        </w:tc>
        <w:tc>
          <w:tcPr>
            <w:tcW w:w="403" w:type="pct"/>
          </w:tcPr>
          <w:p w:rsidR="005814BA" w:rsidRPr="00427A40" w:rsidRDefault="005814BA" w:rsidP="006B5FF3">
            <w:pPr>
              <w:rPr>
                <w:b/>
              </w:rPr>
            </w:pPr>
            <w:r w:rsidRPr="00427A40">
              <w:rPr>
                <w:b/>
              </w:rPr>
              <w:t>2015/16/</w:t>
            </w:r>
          </w:p>
        </w:tc>
        <w:tc>
          <w:tcPr>
            <w:tcW w:w="466" w:type="pct"/>
          </w:tcPr>
          <w:p w:rsidR="005814BA" w:rsidRPr="00427A40" w:rsidRDefault="005814BA" w:rsidP="006B5FF3">
            <w:pPr>
              <w:rPr>
                <w:b/>
              </w:rPr>
            </w:pPr>
            <w:r w:rsidRPr="00427A40">
              <w:rPr>
                <w:b/>
              </w:rPr>
              <w:t>2016/17</w:t>
            </w:r>
          </w:p>
        </w:tc>
      </w:tr>
      <w:tr w:rsidR="00427A40" w:rsidTr="00427A40">
        <w:tc>
          <w:tcPr>
            <w:tcW w:w="479" w:type="pct"/>
          </w:tcPr>
          <w:p w:rsidR="0011509D" w:rsidRPr="0011509D" w:rsidRDefault="0011509D" w:rsidP="0011509D">
            <w:r w:rsidRPr="0011509D">
              <w:t>1</w:t>
            </w:r>
          </w:p>
        </w:tc>
        <w:tc>
          <w:tcPr>
            <w:tcW w:w="2307" w:type="pct"/>
          </w:tcPr>
          <w:p w:rsidR="0011509D" w:rsidRPr="0011509D" w:rsidRDefault="0011509D">
            <w:r w:rsidRPr="0011509D">
              <w:t>The total number of residential properties in your local authority area that were classed as second homes in each of the years</w:t>
            </w:r>
          </w:p>
          <w:p w:rsidR="0011509D" w:rsidRPr="0011509D" w:rsidRDefault="0011509D"/>
        </w:tc>
        <w:tc>
          <w:tcPr>
            <w:tcW w:w="451" w:type="pct"/>
          </w:tcPr>
          <w:p w:rsidR="0011509D" w:rsidRPr="0011509D" w:rsidRDefault="005814BA">
            <w:r>
              <w:t>926</w:t>
            </w:r>
          </w:p>
        </w:tc>
        <w:tc>
          <w:tcPr>
            <w:tcW w:w="455" w:type="pct"/>
          </w:tcPr>
          <w:p w:rsidR="0011509D" w:rsidRPr="0011509D" w:rsidRDefault="00F51797">
            <w:r>
              <w:t>894</w:t>
            </w:r>
          </w:p>
        </w:tc>
        <w:tc>
          <w:tcPr>
            <w:tcW w:w="439" w:type="pct"/>
          </w:tcPr>
          <w:p w:rsidR="0011509D" w:rsidRDefault="00F51797">
            <w:r>
              <w:t>964</w:t>
            </w:r>
          </w:p>
        </w:tc>
        <w:tc>
          <w:tcPr>
            <w:tcW w:w="403" w:type="pct"/>
          </w:tcPr>
          <w:p w:rsidR="0011509D" w:rsidRDefault="004F7D41">
            <w:r>
              <w:t>924</w:t>
            </w:r>
          </w:p>
        </w:tc>
        <w:tc>
          <w:tcPr>
            <w:tcW w:w="466" w:type="pct"/>
          </w:tcPr>
          <w:p w:rsidR="0011509D" w:rsidRDefault="004F7D41">
            <w:r>
              <w:t>1,001</w:t>
            </w:r>
          </w:p>
        </w:tc>
      </w:tr>
      <w:tr w:rsidR="00427A40" w:rsidTr="00427A40">
        <w:tc>
          <w:tcPr>
            <w:tcW w:w="479" w:type="pct"/>
          </w:tcPr>
          <w:p w:rsidR="0011509D" w:rsidRPr="0011509D" w:rsidRDefault="0011509D">
            <w:r w:rsidRPr="0011509D">
              <w:t>2</w:t>
            </w:r>
          </w:p>
        </w:tc>
        <w:tc>
          <w:tcPr>
            <w:tcW w:w="2307" w:type="pct"/>
          </w:tcPr>
          <w:p w:rsidR="0011509D" w:rsidRPr="0011509D" w:rsidRDefault="0011509D">
            <w:r w:rsidRPr="0011509D">
              <w:t>The total number of residential properties in your local authority area that were classed as unoccupied and substantially unfurnished in each of the years</w:t>
            </w:r>
          </w:p>
          <w:p w:rsidR="0011509D" w:rsidRPr="0011509D" w:rsidRDefault="0011509D"/>
        </w:tc>
        <w:tc>
          <w:tcPr>
            <w:tcW w:w="451" w:type="pct"/>
          </w:tcPr>
          <w:p w:rsidR="0011509D" w:rsidRPr="0011509D" w:rsidRDefault="006F17A3">
            <w:r>
              <w:t>4,126</w:t>
            </w:r>
          </w:p>
        </w:tc>
        <w:tc>
          <w:tcPr>
            <w:tcW w:w="455" w:type="pct"/>
          </w:tcPr>
          <w:p w:rsidR="0011509D" w:rsidRPr="0011509D" w:rsidRDefault="004F7D41">
            <w:r>
              <w:t>3,055</w:t>
            </w:r>
          </w:p>
        </w:tc>
        <w:tc>
          <w:tcPr>
            <w:tcW w:w="439" w:type="pct"/>
          </w:tcPr>
          <w:p w:rsidR="0011509D" w:rsidRDefault="004F7D41">
            <w:r>
              <w:t>3,076</w:t>
            </w:r>
          </w:p>
        </w:tc>
        <w:tc>
          <w:tcPr>
            <w:tcW w:w="403" w:type="pct"/>
          </w:tcPr>
          <w:p w:rsidR="0011509D" w:rsidRDefault="004F7D41">
            <w:r>
              <w:t>2,703</w:t>
            </w:r>
          </w:p>
        </w:tc>
        <w:tc>
          <w:tcPr>
            <w:tcW w:w="466" w:type="pct"/>
          </w:tcPr>
          <w:p w:rsidR="0011509D" w:rsidRDefault="004F7D41">
            <w:r>
              <w:t>2,615</w:t>
            </w:r>
          </w:p>
        </w:tc>
      </w:tr>
      <w:tr w:rsidR="00427A40" w:rsidTr="00427A40">
        <w:tc>
          <w:tcPr>
            <w:tcW w:w="479" w:type="pct"/>
          </w:tcPr>
          <w:p w:rsidR="0011509D" w:rsidRPr="0011509D" w:rsidRDefault="0011509D">
            <w:r w:rsidRPr="0011509D">
              <w:t>3</w:t>
            </w:r>
          </w:p>
        </w:tc>
        <w:tc>
          <w:tcPr>
            <w:tcW w:w="2307" w:type="pct"/>
          </w:tcPr>
          <w:p w:rsidR="0011509D" w:rsidRPr="0011509D" w:rsidRDefault="0011509D">
            <w:r w:rsidRPr="0011509D">
              <w:t>The total number of residential properties in your local authority area that are classed as empty in each of the years</w:t>
            </w:r>
          </w:p>
          <w:p w:rsidR="0011509D" w:rsidRPr="0011509D" w:rsidRDefault="0011509D"/>
        </w:tc>
        <w:tc>
          <w:tcPr>
            <w:tcW w:w="451" w:type="pct"/>
          </w:tcPr>
          <w:p w:rsidR="0011509D" w:rsidRPr="0011509D" w:rsidRDefault="006F17A3">
            <w:r>
              <w:t>4,126</w:t>
            </w:r>
            <w:r w:rsidR="004D640B">
              <w:t xml:space="preserve"> as above</w:t>
            </w:r>
          </w:p>
        </w:tc>
        <w:tc>
          <w:tcPr>
            <w:tcW w:w="455" w:type="pct"/>
          </w:tcPr>
          <w:p w:rsidR="0011509D" w:rsidRPr="0011509D" w:rsidRDefault="004F7D41">
            <w:r>
              <w:t>3,055</w:t>
            </w:r>
            <w:r w:rsidR="00F51797">
              <w:t xml:space="preserve"> as above</w:t>
            </w:r>
          </w:p>
        </w:tc>
        <w:tc>
          <w:tcPr>
            <w:tcW w:w="439" w:type="pct"/>
          </w:tcPr>
          <w:p w:rsidR="0011509D" w:rsidRDefault="004F7D41">
            <w:r>
              <w:t>3,076</w:t>
            </w:r>
            <w:r w:rsidR="00F51797">
              <w:t xml:space="preserve"> as above</w:t>
            </w:r>
          </w:p>
        </w:tc>
        <w:tc>
          <w:tcPr>
            <w:tcW w:w="403" w:type="pct"/>
          </w:tcPr>
          <w:p w:rsidR="0011509D" w:rsidRDefault="004F7D41">
            <w:r>
              <w:t>2,703 as above</w:t>
            </w:r>
          </w:p>
          <w:p w:rsidR="004F7D41" w:rsidRDefault="004F7D41"/>
        </w:tc>
        <w:tc>
          <w:tcPr>
            <w:tcW w:w="466" w:type="pct"/>
          </w:tcPr>
          <w:p w:rsidR="0011509D" w:rsidRDefault="004F7D41">
            <w:r>
              <w:t>2,615 as above</w:t>
            </w:r>
          </w:p>
          <w:p w:rsidR="004F7D41" w:rsidRDefault="004F7D41"/>
        </w:tc>
      </w:tr>
      <w:tr w:rsidR="00427A40" w:rsidTr="00427A40">
        <w:tc>
          <w:tcPr>
            <w:tcW w:w="479" w:type="pct"/>
          </w:tcPr>
          <w:p w:rsidR="0011509D" w:rsidRPr="0011509D" w:rsidRDefault="0011509D">
            <w:r w:rsidRPr="0011509D">
              <w:t>4</w:t>
            </w:r>
          </w:p>
        </w:tc>
        <w:tc>
          <w:tcPr>
            <w:tcW w:w="2307" w:type="pct"/>
          </w:tcPr>
          <w:p w:rsidR="0011509D" w:rsidRPr="0011509D" w:rsidRDefault="0011509D">
            <w:r w:rsidRPr="0011509D">
              <w:t>The level of council tax discount your local authority provided for second homes in each of the years</w:t>
            </w:r>
          </w:p>
          <w:p w:rsidR="0011509D" w:rsidRPr="0011509D" w:rsidRDefault="0011509D"/>
        </w:tc>
        <w:tc>
          <w:tcPr>
            <w:tcW w:w="451" w:type="pct"/>
          </w:tcPr>
          <w:p w:rsidR="0011509D" w:rsidRPr="0011509D" w:rsidRDefault="005814BA">
            <w:r>
              <w:t>10%</w:t>
            </w:r>
          </w:p>
        </w:tc>
        <w:tc>
          <w:tcPr>
            <w:tcW w:w="455" w:type="pct"/>
          </w:tcPr>
          <w:p w:rsidR="0011509D" w:rsidRPr="0011509D" w:rsidRDefault="00427A40">
            <w:r>
              <w:t>0%</w:t>
            </w:r>
          </w:p>
        </w:tc>
        <w:tc>
          <w:tcPr>
            <w:tcW w:w="439" w:type="pct"/>
          </w:tcPr>
          <w:p w:rsidR="0011509D" w:rsidRDefault="00427A40">
            <w:r>
              <w:t>0%</w:t>
            </w:r>
          </w:p>
        </w:tc>
        <w:tc>
          <w:tcPr>
            <w:tcW w:w="403" w:type="pct"/>
          </w:tcPr>
          <w:p w:rsidR="0011509D" w:rsidRDefault="00427A40">
            <w:r>
              <w:t>0%</w:t>
            </w:r>
          </w:p>
        </w:tc>
        <w:tc>
          <w:tcPr>
            <w:tcW w:w="466" w:type="pct"/>
          </w:tcPr>
          <w:p w:rsidR="0011509D" w:rsidRDefault="00427A40">
            <w:r>
              <w:t>0%</w:t>
            </w:r>
          </w:p>
        </w:tc>
      </w:tr>
      <w:tr w:rsidR="00427A40" w:rsidTr="00427A40">
        <w:tc>
          <w:tcPr>
            <w:tcW w:w="479" w:type="pct"/>
          </w:tcPr>
          <w:p w:rsidR="0011509D" w:rsidRPr="0011509D" w:rsidRDefault="0011509D">
            <w:r w:rsidRPr="0011509D">
              <w:t>5</w:t>
            </w:r>
          </w:p>
        </w:tc>
        <w:tc>
          <w:tcPr>
            <w:tcW w:w="2307" w:type="pct"/>
          </w:tcPr>
          <w:p w:rsidR="0011509D" w:rsidRPr="0011509D" w:rsidRDefault="0011509D">
            <w:r w:rsidRPr="0011509D">
              <w:t>The level of council tax discount your local authority provided for properties which are unoccupied and substantially unfurnished in each of the years</w:t>
            </w:r>
          </w:p>
          <w:p w:rsidR="0011509D" w:rsidRPr="0011509D" w:rsidRDefault="0011509D"/>
        </w:tc>
        <w:tc>
          <w:tcPr>
            <w:tcW w:w="451" w:type="pct"/>
          </w:tcPr>
          <w:p w:rsidR="0011509D" w:rsidRPr="0011509D" w:rsidRDefault="005814BA">
            <w:r>
              <w:t>100% for 6 months</w:t>
            </w:r>
            <w:r w:rsidR="00427A40">
              <w:t>. 0% thereafter.</w:t>
            </w:r>
          </w:p>
        </w:tc>
        <w:tc>
          <w:tcPr>
            <w:tcW w:w="455" w:type="pct"/>
          </w:tcPr>
          <w:p w:rsidR="0011509D" w:rsidRDefault="00427A40">
            <w:r>
              <w:t>100% for 1 calendar month.</w:t>
            </w:r>
          </w:p>
          <w:p w:rsidR="00427A40" w:rsidRPr="0011509D" w:rsidRDefault="00427A40">
            <w:r>
              <w:t>0% thereafter</w:t>
            </w:r>
          </w:p>
        </w:tc>
        <w:tc>
          <w:tcPr>
            <w:tcW w:w="439" w:type="pct"/>
          </w:tcPr>
          <w:p w:rsidR="00427A40" w:rsidRDefault="00427A40" w:rsidP="00427A40">
            <w:r>
              <w:t>100% for 1 calendar month.</w:t>
            </w:r>
          </w:p>
          <w:p w:rsidR="0011509D" w:rsidRDefault="00427A40" w:rsidP="00427A40">
            <w:r>
              <w:t>0% thereafter</w:t>
            </w:r>
          </w:p>
        </w:tc>
        <w:tc>
          <w:tcPr>
            <w:tcW w:w="403" w:type="pct"/>
          </w:tcPr>
          <w:p w:rsidR="00427A40" w:rsidRDefault="00427A40" w:rsidP="00427A40">
            <w:r>
              <w:t>100% for 1 calendar month.</w:t>
            </w:r>
          </w:p>
          <w:p w:rsidR="0011509D" w:rsidRDefault="00427A40" w:rsidP="00427A40">
            <w:r>
              <w:t>0% thereafter</w:t>
            </w:r>
          </w:p>
        </w:tc>
        <w:tc>
          <w:tcPr>
            <w:tcW w:w="466" w:type="pct"/>
          </w:tcPr>
          <w:p w:rsidR="00427A40" w:rsidRDefault="00427A40" w:rsidP="00427A40">
            <w:r>
              <w:t>100% for 1 calendar month.</w:t>
            </w:r>
          </w:p>
          <w:p w:rsidR="0011509D" w:rsidRDefault="00427A40" w:rsidP="00427A40">
            <w:r>
              <w:t>0% thereafter</w:t>
            </w:r>
          </w:p>
        </w:tc>
      </w:tr>
      <w:tr w:rsidR="00427A40" w:rsidTr="00427A40">
        <w:tc>
          <w:tcPr>
            <w:tcW w:w="479" w:type="pct"/>
          </w:tcPr>
          <w:p w:rsidR="0011509D" w:rsidRPr="0011509D" w:rsidRDefault="0011509D">
            <w:r w:rsidRPr="0011509D">
              <w:t>6</w:t>
            </w:r>
          </w:p>
        </w:tc>
        <w:tc>
          <w:tcPr>
            <w:tcW w:w="2307" w:type="pct"/>
          </w:tcPr>
          <w:p w:rsidR="0011509D" w:rsidRPr="0011509D" w:rsidRDefault="0011509D">
            <w:r w:rsidRPr="0011509D">
              <w:t>The rate of additional council tax your local authority charged under the empty homes premium in each of the years</w:t>
            </w:r>
          </w:p>
          <w:p w:rsidR="0011509D" w:rsidRPr="0011509D" w:rsidRDefault="0011509D"/>
        </w:tc>
        <w:tc>
          <w:tcPr>
            <w:tcW w:w="451" w:type="pct"/>
          </w:tcPr>
          <w:p w:rsidR="0011509D" w:rsidRPr="0011509D" w:rsidRDefault="005814BA">
            <w:r>
              <w:t>0%</w:t>
            </w:r>
          </w:p>
        </w:tc>
        <w:tc>
          <w:tcPr>
            <w:tcW w:w="455" w:type="pct"/>
          </w:tcPr>
          <w:p w:rsidR="0011509D" w:rsidRPr="0011509D" w:rsidRDefault="005814BA">
            <w:r>
              <w:t>50%</w:t>
            </w:r>
          </w:p>
        </w:tc>
        <w:tc>
          <w:tcPr>
            <w:tcW w:w="439" w:type="pct"/>
          </w:tcPr>
          <w:p w:rsidR="0011509D" w:rsidRDefault="005814BA">
            <w:r>
              <w:t>50%</w:t>
            </w:r>
          </w:p>
        </w:tc>
        <w:tc>
          <w:tcPr>
            <w:tcW w:w="403" w:type="pct"/>
          </w:tcPr>
          <w:p w:rsidR="0011509D" w:rsidRDefault="005814BA">
            <w:r>
              <w:t>50%</w:t>
            </w:r>
          </w:p>
        </w:tc>
        <w:tc>
          <w:tcPr>
            <w:tcW w:w="466" w:type="pct"/>
          </w:tcPr>
          <w:p w:rsidR="0011509D" w:rsidRDefault="005814BA">
            <w:r>
              <w:t>50%</w:t>
            </w:r>
          </w:p>
        </w:tc>
      </w:tr>
      <w:tr w:rsidR="00427A40" w:rsidTr="00427A40">
        <w:tc>
          <w:tcPr>
            <w:tcW w:w="479" w:type="pct"/>
          </w:tcPr>
          <w:p w:rsidR="0011509D" w:rsidRPr="0011509D" w:rsidRDefault="0011509D">
            <w:r w:rsidRPr="0011509D">
              <w:t>7</w:t>
            </w:r>
          </w:p>
        </w:tc>
        <w:tc>
          <w:tcPr>
            <w:tcW w:w="2307" w:type="pct"/>
          </w:tcPr>
          <w:p w:rsidR="0011509D" w:rsidRPr="0011509D" w:rsidRDefault="0011509D">
            <w:r w:rsidRPr="0011509D">
              <w:t>The number of empty properties in your local authority area which were charged the empty homes premium in each of the years</w:t>
            </w:r>
          </w:p>
        </w:tc>
        <w:tc>
          <w:tcPr>
            <w:tcW w:w="451" w:type="pct"/>
          </w:tcPr>
          <w:p w:rsidR="0011509D" w:rsidRPr="0011509D" w:rsidRDefault="00427A40">
            <w:r>
              <w:t>0</w:t>
            </w:r>
          </w:p>
        </w:tc>
        <w:tc>
          <w:tcPr>
            <w:tcW w:w="455" w:type="pct"/>
          </w:tcPr>
          <w:p w:rsidR="0011509D" w:rsidRPr="0011509D" w:rsidRDefault="00F51797">
            <w:r>
              <w:t>403</w:t>
            </w:r>
          </w:p>
        </w:tc>
        <w:tc>
          <w:tcPr>
            <w:tcW w:w="439" w:type="pct"/>
          </w:tcPr>
          <w:p w:rsidR="0011509D" w:rsidRDefault="004F7D41">
            <w:r>
              <w:t>427</w:t>
            </w:r>
          </w:p>
        </w:tc>
        <w:tc>
          <w:tcPr>
            <w:tcW w:w="403" w:type="pct"/>
          </w:tcPr>
          <w:p w:rsidR="0011509D" w:rsidRDefault="004F7D41">
            <w:r>
              <w:t>370</w:t>
            </w:r>
          </w:p>
        </w:tc>
        <w:tc>
          <w:tcPr>
            <w:tcW w:w="466" w:type="pct"/>
          </w:tcPr>
          <w:p w:rsidR="0011509D" w:rsidRDefault="004F7D41">
            <w:r>
              <w:t>340</w:t>
            </w:r>
          </w:p>
        </w:tc>
      </w:tr>
    </w:tbl>
    <w:p w:rsidR="007A554F" w:rsidRDefault="007A554F"/>
    <w:p w:rsidR="006F17A3" w:rsidRDefault="006F17A3"/>
    <w:sectPr w:rsidR="006F17A3" w:rsidSect="0023494B">
      <w:pgSz w:w="15840" w:h="12240" w:orient="landscape"/>
      <w:pgMar w:top="851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4B"/>
    <w:rsid w:val="00015C29"/>
    <w:rsid w:val="00020A81"/>
    <w:rsid w:val="00034A9A"/>
    <w:rsid w:val="00050F8D"/>
    <w:rsid w:val="00057EA7"/>
    <w:rsid w:val="00063C0F"/>
    <w:rsid w:val="000754F4"/>
    <w:rsid w:val="0007567A"/>
    <w:rsid w:val="0008014E"/>
    <w:rsid w:val="000818B1"/>
    <w:rsid w:val="000B2E54"/>
    <w:rsid w:val="000C3644"/>
    <w:rsid w:val="000C77F1"/>
    <w:rsid w:val="000E7CB6"/>
    <w:rsid w:val="00100FED"/>
    <w:rsid w:val="00105D13"/>
    <w:rsid w:val="001108BF"/>
    <w:rsid w:val="0011509D"/>
    <w:rsid w:val="00124A67"/>
    <w:rsid w:val="00124E3B"/>
    <w:rsid w:val="00161045"/>
    <w:rsid w:val="001716CC"/>
    <w:rsid w:val="00182EEA"/>
    <w:rsid w:val="0019514E"/>
    <w:rsid w:val="00196853"/>
    <w:rsid w:val="001A5204"/>
    <w:rsid w:val="001A6258"/>
    <w:rsid w:val="001D5C09"/>
    <w:rsid w:val="001E20C7"/>
    <w:rsid w:val="001E2D03"/>
    <w:rsid w:val="001E3BAF"/>
    <w:rsid w:val="001E596F"/>
    <w:rsid w:val="001E75BF"/>
    <w:rsid w:val="001F0686"/>
    <w:rsid w:val="00203563"/>
    <w:rsid w:val="002112EA"/>
    <w:rsid w:val="00214B93"/>
    <w:rsid w:val="0023494B"/>
    <w:rsid w:val="002429FA"/>
    <w:rsid w:val="00250CEC"/>
    <w:rsid w:val="0027257B"/>
    <w:rsid w:val="00293A70"/>
    <w:rsid w:val="0029566E"/>
    <w:rsid w:val="002A33BC"/>
    <w:rsid w:val="002A4A5D"/>
    <w:rsid w:val="002C7B89"/>
    <w:rsid w:val="002F0A5D"/>
    <w:rsid w:val="00335DE1"/>
    <w:rsid w:val="00343A5A"/>
    <w:rsid w:val="00351C77"/>
    <w:rsid w:val="00363CE5"/>
    <w:rsid w:val="00373DD6"/>
    <w:rsid w:val="00375B5A"/>
    <w:rsid w:val="003924FD"/>
    <w:rsid w:val="003926F1"/>
    <w:rsid w:val="00396FBC"/>
    <w:rsid w:val="003975D1"/>
    <w:rsid w:val="003F2403"/>
    <w:rsid w:val="00403CDB"/>
    <w:rsid w:val="004252E7"/>
    <w:rsid w:val="00425930"/>
    <w:rsid w:val="004265E4"/>
    <w:rsid w:val="00427A40"/>
    <w:rsid w:val="00437A08"/>
    <w:rsid w:val="00463F26"/>
    <w:rsid w:val="00473404"/>
    <w:rsid w:val="004A295E"/>
    <w:rsid w:val="004B2871"/>
    <w:rsid w:val="004B3340"/>
    <w:rsid w:val="004C32EE"/>
    <w:rsid w:val="004D3B9D"/>
    <w:rsid w:val="004D640B"/>
    <w:rsid w:val="004F7D41"/>
    <w:rsid w:val="00515A62"/>
    <w:rsid w:val="00516352"/>
    <w:rsid w:val="005213AC"/>
    <w:rsid w:val="00551D15"/>
    <w:rsid w:val="00554CCA"/>
    <w:rsid w:val="0057634A"/>
    <w:rsid w:val="005814BA"/>
    <w:rsid w:val="00590BF8"/>
    <w:rsid w:val="005B2A34"/>
    <w:rsid w:val="005C1CDC"/>
    <w:rsid w:val="005D147D"/>
    <w:rsid w:val="005D6265"/>
    <w:rsid w:val="005E4E53"/>
    <w:rsid w:val="005F2469"/>
    <w:rsid w:val="00604D2F"/>
    <w:rsid w:val="006517A1"/>
    <w:rsid w:val="0067128E"/>
    <w:rsid w:val="00684800"/>
    <w:rsid w:val="0068658E"/>
    <w:rsid w:val="006A6D3E"/>
    <w:rsid w:val="006B11E0"/>
    <w:rsid w:val="006C485E"/>
    <w:rsid w:val="006C6BFE"/>
    <w:rsid w:val="006C7814"/>
    <w:rsid w:val="006D2E09"/>
    <w:rsid w:val="006D5C3C"/>
    <w:rsid w:val="006E3130"/>
    <w:rsid w:val="006F17A3"/>
    <w:rsid w:val="00704448"/>
    <w:rsid w:val="00706152"/>
    <w:rsid w:val="00706652"/>
    <w:rsid w:val="0072121C"/>
    <w:rsid w:val="007261C4"/>
    <w:rsid w:val="007503D3"/>
    <w:rsid w:val="00762CEA"/>
    <w:rsid w:val="00764770"/>
    <w:rsid w:val="00781C8F"/>
    <w:rsid w:val="00797B8B"/>
    <w:rsid w:val="007A0764"/>
    <w:rsid w:val="007A2DFC"/>
    <w:rsid w:val="007A554F"/>
    <w:rsid w:val="007B2A0E"/>
    <w:rsid w:val="007B3CE3"/>
    <w:rsid w:val="007C01B5"/>
    <w:rsid w:val="007C1F8F"/>
    <w:rsid w:val="007E2109"/>
    <w:rsid w:val="00863E2D"/>
    <w:rsid w:val="008715F4"/>
    <w:rsid w:val="00874F55"/>
    <w:rsid w:val="00880652"/>
    <w:rsid w:val="008A29B2"/>
    <w:rsid w:val="008A565A"/>
    <w:rsid w:val="008B4F11"/>
    <w:rsid w:val="008C3095"/>
    <w:rsid w:val="008F0EDC"/>
    <w:rsid w:val="00913A61"/>
    <w:rsid w:val="00937609"/>
    <w:rsid w:val="0094070E"/>
    <w:rsid w:val="00976415"/>
    <w:rsid w:val="009818E4"/>
    <w:rsid w:val="0099276A"/>
    <w:rsid w:val="009D1940"/>
    <w:rsid w:val="009D3541"/>
    <w:rsid w:val="009E038C"/>
    <w:rsid w:val="009E1B99"/>
    <w:rsid w:val="009F3BE8"/>
    <w:rsid w:val="009F496B"/>
    <w:rsid w:val="009F54FD"/>
    <w:rsid w:val="009F663C"/>
    <w:rsid w:val="00A00A3F"/>
    <w:rsid w:val="00A031E2"/>
    <w:rsid w:val="00A2159D"/>
    <w:rsid w:val="00A47C8D"/>
    <w:rsid w:val="00A53731"/>
    <w:rsid w:val="00A60784"/>
    <w:rsid w:val="00A76AF0"/>
    <w:rsid w:val="00A76FAE"/>
    <w:rsid w:val="00AC053E"/>
    <w:rsid w:val="00AC119F"/>
    <w:rsid w:val="00AC7F8C"/>
    <w:rsid w:val="00AD12AA"/>
    <w:rsid w:val="00AD1A71"/>
    <w:rsid w:val="00AF06F7"/>
    <w:rsid w:val="00B43FBF"/>
    <w:rsid w:val="00B451FE"/>
    <w:rsid w:val="00B63C0B"/>
    <w:rsid w:val="00B65297"/>
    <w:rsid w:val="00B65ED1"/>
    <w:rsid w:val="00B70588"/>
    <w:rsid w:val="00B71D58"/>
    <w:rsid w:val="00B8734B"/>
    <w:rsid w:val="00BB2F52"/>
    <w:rsid w:val="00BC2D16"/>
    <w:rsid w:val="00BD0EC1"/>
    <w:rsid w:val="00BD38A8"/>
    <w:rsid w:val="00BE7120"/>
    <w:rsid w:val="00BF3C6C"/>
    <w:rsid w:val="00BF4FC3"/>
    <w:rsid w:val="00C23987"/>
    <w:rsid w:val="00C313C9"/>
    <w:rsid w:val="00C33D42"/>
    <w:rsid w:val="00C40515"/>
    <w:rsid w:val="00C57511"/>
    <w:rsid w:val="00C638A8"/>
    <w:rsid w:val="00C8083F"/>
    <w:rsid w:val="00C81029"/>
    <w:rsid w:val="00C8251A"/>
    <w:rsid w:val="00C83850"/>
    <w:rsid w:val="00C90772"/>
    <w:rsid w:val="00C97B26"/>
    <w:rsid w:val="00CA0017"/>
    <w:rsid w:val="00CA1CA9"/>
    <w:rsid w:val="00CA6C4B"/>
    <w:rsid w:val="00CB470E"/>
    <w:rsid w:val="00CF7F89"/>
    <w:rsid w:val="00D2145F"/>
    <w:rsid w:val="00D30F80"/>
    <w:rsid w:val="00D475B0"/>
    <w:rsid w:val="00D57275"/>
    <w:rsid w:val="00D6025E"/>
    <w:rsid w:val="00D70419"/>
    <w:rsid w:val="00D72AF4"/>
    <w:rsid w:val="00D8411E"/>
    <w:rsid w:val="00D86B5C"/>
    <w:rsid w:val="00D90210"/>
    <w:rsid w:val="00DA51C5"/>
    <w:rsid w:val="00DB46CB"/>
    <w:rsid w:val="00DD1932"/>
    <w:rsid w:val="00DE5147"/>
    <w:rsid w:val="00DE555C"/>
    <w:rsid w:val="00DE6CD1"/>
    <w:rsid w:val="00DE6D14"/>
    <w:rsid w:val="00E51846"/>
    <w:rsid w:val="00E6004D"/>
    <w:rsid w:val="00EA3508"/>
    <w:rsid w:val="00EB7786"/>
    <w:rsid w:val="00EC5109"/>
    <w:rsid w:val="00ED458C"/>
    <w:rsid w:val="00ED4F03"/>
    <w:rsid w:val="00EE5C9F"/>
    <w:rsid w:val="00F43B25"/>
    <w:rsid w:val="00F515DC"/>
    <w:rsid w:val="00F51797"/>
    <w:rsid w:val="00F54F60"/>
    <w:rsid w:val="00F63425"/>
    <w:rsid w:val="00F634B3"/>
    <w:rsid w:val="00F71E5F"/>
    <w:rsid w:val="00F83247"/>
    <w:rsid w:val="00F9539B"/>
    <w:rsid w:val="00F97648"/>
    <w:rsid w:val="00FA3419"/>
    <w:rsid w:val="00FB49F4"/>
    <w:rsid w:val="00FE1ACA"/>
    <w:rsid w:val="00FE62F0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87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eepNext/>
      <w:keepLines/>
      <w:jc w:val="both"/>
    </w:pPr>
  </w:style>
  <w:style w:type="paragraph" w:styleId="BodyText2">
    <w:name w:val="Body Text 2"/>
    <w:basedOn w:val="Normal"/>
    <w:pPr>
      <w:keepNext/>
      <w:keepLines/>
      <w:widowControl w:val="0"/>
    </w:pPr>
  </w:style>
  <w:style w:type="paragraph" w:styleId="BodyText3">
    <w:name w:val="Body Text 3"/>
    <w:basedOn w:val="Normal"/>
    <w:pPr>
      <w:keepNext/>
      <w:keepLines/>
      <w:widowControl w:val="0"/>
      <w:jc w:val="both"/>
    </w:pPr>
    <w:rPr>
      <w:rFonts w:cs="Arial"/>
    </w:rPr>
  </w:style>
  <w:style w:type="paragraph" w:styleId="BodyTextIndent">
    <w:name w:val="Body Text Indent"/>
    <w:basedOn w:val="Normal"/>
    <w:pPr>
      <w:ind w:left="851"/>
      <w:jc w:val="both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table" w:styleId="TableGrid">
    <w:name w:val="Table Grid"/>
    <w:basedOn w:val="TableNormal"/>
    <w:rsid w:val="0023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87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eepNext/>
      <w:keepLines/>
      <w:jc w:val="both"/>
    </w:pPr>
  </w:style>
  <w:style w:type="paragraph" w:styleId="BodyText2">
    <w:name w:val="Body Text 2"/>
    <w:basedOn w:val="Normal"/>
    <w:pPr>
      <w:keepNext/>
      <w:keepLines/>
      <w:widowControl w:val="0"/>
    </w:pPr>
  </w:style>
  <w:style w:type="paragraph" w:styleId="BodyText3">
    <w:name w:val="Body Text 3"/>
    <w:basedOn w:val="Normal"/>
    <w:pPr>
      <w:keepNext/>
      <w:keepLines/>
      <w:widowControl w:val="0"/>
      <w:jc w:val="both"/>
    </w:pPr>
    <w:rPr>
      <w:rFonts w:cs="Arial"/>
    </w:rPr>
  </w:style>
  <w:style w:type="paragraph" w:styleId="BodyTextIndent">
    <w:name w:val="Body Text Indent"/>
    <w:basedOn w:val="Normal"/>
    <w:pPr>
      <w:ind w:left="851"/>
      <w:jc w:val="both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table" w:styleId="TableGrid">
    <w:name w:val="Table Grid"/>
    <w:basedOn w:val="TableNormal"/>
    <w:rsid w:val="0023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D Mistry</dc:creator>
  <cp:lastModifiedBy>Pravina Chandarana</cp:lastModifiedBy>
  <cp:revision>2</cp:revision>
  <dcterms:created xsi:type="dcterms:W3CDTF">2017-08-02T13:40:00Z</dcterms:created>
  <dcterms:modified xsi:type="dcterms:W3CDTF">2017-08-02T13:40:00Z</dcterms:modified>
</cp:coreProperties>
</file>