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28" w:rsidRDefault="00243128" w:rsidP="00BD5AFE">
      <w:pPr>
        <w:spacing w:line="360" w:lineRule="auto"/>
      </w:pPr>
      <w:bookmarkStart w:id="0" w:name="_GoBack"/>
      <w:bookmarkEnd w:id="0"/>
      <w:r w:rsidRPr="00006FA0">
        <w:rPr>
          <w:b/>
          <w:bCs/>
        </w:rPr>
        <w:t>Freedom of Information Act 2000: Leicester City Council request reference 64</w:t>
      </w:r>
      <w:r w:rsidR="001F6064">
        <w:rPr>
          <w:b/>
          <w:bCs/>
        </w:rPr>
        <w:t>27</w:t>
      </w:r>
      <w:r w:rsidRPr="00006FA0">
        <w:rPr>
          <w:b/>
          <w:bCs/>
        </w:rPr>
        <w:t xml:space="preserve">: </w:t>
      </w:r>
      <w:r w:rsidR="001F6064">
        <w:rPr>
          <w:b/>
          <w:bCs/>
        </w:rPr>
        <w:t xml:space="preserve">Highway </w:t>
      </w:r>
      <w:r w:rsidRPr="00006FA0">
        <w:rPr>
          <w:b/>
          <w:bCs/>
        </w:rPr>
        <w:t>Maintenance</w:t>
      </w:r>
      <w:r w:rsidR="00933075">
        <w:rPr>
          <w:b/>
          <w:bCs/>
        </w:rPr>
        <w:t xml:space="preserve"> </w:t>
      </w:r>
      <w:r w:rsidRPr="00006FA0">
        <w:rPr>
          <w:b/>
          <w:bCs/>
        </w:rPr>
        <w:t xml:space="preserve">Contracts </w:t>
      </w:r>
    </w:p>
    <w:tbl>
      <w:tblPr>
        <w:tblW w:w="2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355"/>
        <w:gridCol w:w="1440"/>
        <w:gridCol w:w="1440"/>
        <w:gridCol w:w="1657"/>
        <w:gridCol w:w="2213"/>
        <w:gridCol w:w="3690"/>
        <w:gridCol w:w="1530"/>
        <w:gridCol w:w="1759"/>
        <w:gridCol w:w="1751"/>
        <w:gridCol w:w="3413"/>
      </w:tblGrid>
      <w:tr w:rsidR="00546D4C" w:rsidTr="00A50777">
        <w:trPr>
          <w:cantSplit/>
          <w:tblHeader/>
        </w:trPr>
        <w:tc>
          <w:tcPr>
            <w:tcW w:w="3355" w:type="dxa"/>
            <w:shd w:val="clear" w:color="auto" w:fill="auto"/>
            <w:vAlign w:val="center"/>
          </w:tcPr>
          <w:p w:rsidR="007746EF" w:rsidRPr="00DA7815" w:rsidRDefault="007746EF" w:rsidP="00DA7815">
            <w:pPr>
              <w:jc w:val="center"/>
              <w:rPr>
                <w:b/>
                <w:bCs/>
              </w:rPr>
            </w:pPr>
            <w:r w:rsidRPr="00DA7815">
              <w:rPr>
                <w:b/>
                <w:bCs/>
              </w:rPr>
              <w:t>Contract Name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46EF" w:rsidRPr="00DA7815" w:rsidRDefault="007746EF" w:rsidP="00DA7815">
            <w:pPr>
              <w:jc w:val="center"/>
              <w:rPr>
                <w:b/>
                <w:bCs/>
              </w:rPr>
            </w:pPr>
            <w:r w:rsidRPr="00DA7815">
              <w:rPr>
                <w:b/>
                <w:bCs/>
              </w:rPr>
              <w:t>Contract Start Date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46EF" w:rsidRPr="00DA7815" w:rsidRDefault="007746EF" w:rsidP="00DA7815">
            <w:pPr>
              <w:jc w:val="center"/>
              <w:rPr>
                <w:b/>
                <w:bCs/>
              </w:rPr>
            </w:pPr>
            <w:r w:rsidRPr="00DA7815">
              <w:rPr>
                <w:b/>
                <w:bCs/>
              </w:rPr>
              <w:t>Contract End Date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746EF" w:rsidRPr="00DA7815" w:rsidRDefault="007746EF" w:rsidP="00DA7815">
            <w:pPr>
              <w:jc w:val="center"/>
              <w:rPr>
                <w:b/>
                <w:bCs/>
              </w:rPr>
            </w:pPr>
            <w:r w:rsidRPr="00DA7815">
              <w:rPr>
                <w:b/>
                <w:bCs/>
              </w:rPr>
              <w:t xml:space="preserve">Contract </w:t>
            </w:r>
            <w:r w:rsidR="00546D4C">
              <w:rPr>
                <w:b/>
                <w:bCs/>
              </w:rPr>
              <w:t xml:space="preserve">Period and </w:t>
            </w:r>
            <w:r w:rsidRPr="00DA7815">
              <w:rPr>
                <w:b/>
                <w:bCs/>
              </w:rPr>
              <w:t>Extensions?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746EF" w:rsidRPr="00DA7815" w:rsidRDefault="007746EF" w:rsidP="00DA7815">
            <w:pPr>
              <w:jc w:val="center"/>
              <w:rPr>
                <w:b/>
                <w:bCs/>
              </w:rPr>
            </w:pPr>
            <w:r w:rsidRPr="00DA7815">
              <w:rPr>
                <w:b/>
                <w:bCs/>
              </w:rPr>
              <w:t>Procurement &amp; Valuation method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7746EF" w:rsidRPr="00DA7815" w:rsidRDefault="007746EF" w:rsidP="00DA7815">
            <w:pPr>
              <w:jc w:val="center"/>
              <w:rPr>
                <w:b/>
                <w:bCs/>
              </w:rPr>
            </w:pPr>
            <w:r w:rsidRPr="00DA7815">
              <w:rPr>
                <w:b/>
                <w:bCs/>
              </w:rPr>
              <w:t>Schedule of Rates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46EF" w:rsidRPr="00DA7815" w:rsidRDefault="00BD5AFE" w:rsidP="00BD5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</w:t>
            </w:r>
            <w:r w:rsidR="007746EF" w:rsidRPr="00DA7815">
              <w:rPr>
                <w:b/>
                <w:bCs/>
              </w:rPr>
              <w:t xml:space="preserve"> of Contract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746EF" w:rsidRPr="00DA7815" w:rsidRDefault="007746EF" w:rsidP="00DA7815">
            <w:pPr>
              <w:jc w:val="center"/>
              <w:rPr>
                <w:b/>
                <w:bCs/>
              </w:rPr>
            </w:pPr>
            <w:r w:rsidRPr="00DA7815">
              <w:rPr>
                <w:b/>
                <w:bCs/>
              </w:rPr>
              <w:t>Contract Value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746EF" w:rsidRPr="00DA7815" w:rsidRDefault="007746EF" w:rsidP="00DA7815">
            <w:pPr>
              <w:jc w:val="center"/>
              <w:rPr>
                <w:b/>
                <w:bCs/>
              </w:rPr>
            </w:pPr>
            <w:r w:rsidRPr="00DA7815">
              <w:rPr>
                <w:b/>
                <w:bCs/>
              </w:rPr>
              <w:t>Contractor(s)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7746EF" w:rsidRPr="00DA7815" w:rsidRDefault="007746EF" w:rsidP="00DA7815">
            <w:pPr>
              <w:jc w:val="center"/>
              <w:rPr>
                <w:b/>
                <w:bCs/>
              </w:rPr>
            </w:pPr>
            <w:r w:rsidRPr="00DA7815">
              <w:rPr>
                <w:b/>
                <w:bCs/>
              </w:rPr>
              <w:t>Notes</w:t>
            </w:r>
          </w:p>
        </w:tc>
      </w:tr>
      <w:tr w:rsidR="00546D4C" w:rsidRPr="005B3108" w:rsidTr="00A50777">
        <w:trPr>
          <w:cantSplit/>
        </w:trPr>
        <w:tc>
          <w:tcPr>
            <w:tcW w:w="3355" w:type="dxa"/>
            <w:shd w:val="clear" w:color="auto" w:fill="auto"/>
          </w:tcPr>
          <w:p w:rsidR="007746EF" w:rsidRPr="005B3108" w:rsidRDefault="007746EF" w:rsidP="00006FA0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Term Maintenance Contact for Highway Works, 2009-2014, Schedule A: General Civil Engineering</w:t>
            </w:r>
          </w:p>
        </w:tc>
        <w:tc>
          <w:tcPr>
            <w:tcW w:w="1440" w:type="dxa"/>
            <w:shd w:val="clear" w:color="auto" w:fill="auto"/>
          </w:tcPr>
          <w:p w:rsidR="007746EF" w:rsidRPr="005B3108" w:rsidRDefault="007746EF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01/04/2009</w:t>
            </w:r>
          </w:p>
        </w:tc>
        <w:tc>
          <w:tcPr>
            <w:tcW w:w="1440" w:type="dxa"/>
            <w:shd w:val="clear" w:color="auto" w:fill="auto"/>
          </w:tcPr>
          <w:p w:rsidR="007746EF" w:rsidRPr="005B3108" w:rsidRDefault="007746EF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31/03/2014</w:t>
            </w:r>
            <w:r w:rsidR="00546D4C">
              <w:rPr>
                <w:sz w:val="22"/>
                <w:szCs w:val="22"/>
              </w:rPr>
              <w:t xml:space="preserve"> plus up to two years</w:t>
            </w:r>
          </w:p>
        </w:tc>
        <w:tc>
          <w:tcPr>
            <w:tcW w:w="1657" w:type="dxa"/>
            <w:shd w:val="clear" w:color="auto" w:fill="auto"/>
          </w:tcPr>
          <w:p w:rsidR="007746EF" w:rsidRPr="005B3108" w:rsidRDefault="00546D4C" w:rsidP="00DA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Five plus up to two years</w:t>
            </w:r>
          </w:p>
        </w:tc>
        <w:tc>
          <w:tcPr>
            <w:tcW w:w="2213" w:type="dxa"/>
            <w:shd w:val="clear" w:color="auto" w:fill="auto"/>
          </w:tcPr>
          <w:p w:rsidR="005B3108" w:rsidRPr="005B3108" w:rsidRDefault="007746EF" w:rsidP="00B51877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Schedule of Rates</w:t>
            </w:r>
            <w:r w:rsidR="005B3108">
              <w:rPr>
                <w:sz w:val="22"/>
                <w:szCs w:val="22"/>
              </w:rPr>
              <w:t xml:space="preserve">: </w:t>
            </w:r>
            <w:r w:rsidR="00B51877">
              <w:rPr>
                <w:sz w:val="22"/>
                <w:szCs w:val="22"/>
              </w:rPr>
              <w:t>i</w:t>
            </w:r>
            <w:r w:rsidR="005B3108">
              <w:rPr>
                <w:sz w:val="22"/>
                <w:szCs w:val="22"/>
              </w:rPr>
              <w:t>n-house supplier</w:t>
            </w:r>
          </w:p>
        </w:tc>
        <w:tc>
          <w:tcPr>
            <w:tcW w:w="3690" w:type="dxa"/>
            <w:shd w:val="clear" w:color="auto" w:fill="auto"/>
          </w:tcPr>
          <w:p w:rsidR="007746EF" w:rsidRPr="005B3108" w:rsidRDefault="007746EF" w:rsidP="007746EF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Bespoke schedule of rates, based on MMHW</w:t>
            </w:r>
            <w:r w:rsidR="0049443A" w:rsidRPr="005B3108">
              <w:rPr>
                <w:sz w:val="22"/>
                <w:szCs w:val="22"/>
              </w:rPr>
              <w:t xml:space="preserve">, indexed annually </w:t>
            </w:r>
            <w:r w:rsidR="00871209" w:rsidRPr="005B3108">
              <w:rPr>
                <w:sz w:val="22"/>
                <w:szCs w:val="22"/>
              </w:rPr>
              <w:t>using</w:t>
            </w:r>
            <w:r w:rsidR="0049443A" w:rsidRPr="005B3108">
              <w:rPr>
                <w:sz w:val="22"/>
                <w:szCs w:val="22"/>
              </w:rPr>
              <w:t xml:space="preserve"> Construction Price Adjustment Formula </w:t>
            </w:r>
          </w:p>
        </w:tc>
        <w:tc>
          <w:tcPr>
            <w:tcW w:w="1530" w:type="dxa"/>
            <w:shd w:val="clear" w:color="auto" w:fill="auto"/>
          </w:tcPr>
          <w:p w:rsidR="007746EF" w:rsidRPr="005B3108" w:rsidRDefault="007746EF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ICE Term Contract 2002</w:t>
            </w:r>
          </w:p>
        </w:tc>
        <w:tc>
          <w:tcPr>
            <w:tcW w:w="1759" w:type="dxa"/>
            <w:shd w:val="clear" w:color="auto" w:fill="auto"/>
          </w:tcPr>
          <w:p w:rsidR="007746EF" w:rsidRPr="006B68F0" w:rsidRDefault="00BD5AFE" w:rsidP="00B51877">
            <w:pPr>
              <w:jc w:val="center"/>
              <w:rPr>
                <w:sz w:val="22"/>
                <w:szCs w:val="22"/>
              </w:rPr>
            </w:pPr>
            <w:r w:rsidRPr="006B68F0">
              <w:rPr>
                <w:sz w:val="22"/>
                <w:szCs w:val="22"/>
              </w:rPr>
              <w:t xml:space="preserve">Up to £250k per site, </w:t>
            </w:r>
            <w:proofErr w:type="spellStart"/>
            <w:r w:rsidRPr="006B68F0">
              <w:rPr>
                <w:sz w:val="22"/>
                <w:szCs w:val="22"/>
              </w:rPr>
              <w:t>approx</w:t>
            </w:r>
            <w:proofErr w:type="spellEnd"/>
            <w:r w:rsidRPr="006B68F0">
              <w:rPr>
                <w:sz w:val="22"/>
                <w:szCs w:val="22"/>
              </w:rPr>
              <w:t xml:space="preserve"> £2</w:t>
            </w:r>
            <w:r w:rsidR="0034234E" w:rsidRPr="006B68F0">
              <w:rPr>
                <w:sz w:val="22"/>
                <w:szCs w:val="22"/>
              </w:rPr>
              <w:t>m per year</w:t>
            </w:r>
          </w:p>
        </w:tc>
        <w:tc>
          <w:tcPr>
            <w:tcW w:w="1751" w:type="dxa"/>
            <w:shd w:val="clear" w:color="auto" w:fill="auto"/>
          </w:tcPr>
          <w:p w:rsidR="007746EF" w:rsidRPr="005B3108" w:rsidRDefault="007746EF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City Highways</w:t>
            </w:r>
            <w:r w:rsidR="00B46ECA" w:rsidRPr="005B3108">
              <w:rPr>
                <w:sz w:val="22"/>
                <w:szCs w:val="22"/>
              </w:rPr>
              <w:t xml:space="preserve"> (DSO)</w:t>
            </w:r>
          </w:p>
        </w:tc>
        <w:tc>
          <w:tcPr>
            <w:tcW w:w="3413" w:type="dxa"/>
            <w:shd w:val="clear" w:color="auto" w:fill="auto"/>
          </w:tcPr>
          <w:p w:rsidR="007746EF" w:rsidRPr="005B3108" w:rsidRDefault="001F6064" w:rsidP="00376681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Currently in first of two one-year extensions</w:t>
            </w:r>
          </w:p>
        </w:tc>
      </w:tr>
      <w:tr w:rsidR="00546D4C" w:rsidRPr="005B3108" w:rsidTr="00A50777">
        <w:trPr>
          <w:cantSplit/>
        </w:trPr>
        <w:tc>
          <w:tcPr>
            <w:tcW w:w="3355" w:type="dxa"/>
            <w:shd w:val="clear" w:color="auto" w:fill="auto"/>
          </w:tcPr>
          <w:p w:rsidR="00546D4C" w:rsidRPr="005B3108" w:rsidRDefault="00546D4C" w:rsidP="00544B2C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Term Maintenance Contact for Highway Works, 2009-2014, Schedule B: Non-HRA Repairs</w:t>
            </w:r>
          </w:p>
        </w:tc>
        <w:tc>
          <w:tcPr>
            <w:tcW w:w="1440" w:type="dxa"/>
            <w:shd w:val="clear" w:color="auto" w:fill="auto"/>
          </w:tcPr>
          <w:p w:rsidR="00546D4C" w:rsidRPr="005B3108" w:rsidRDefault="00546D4C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01/04/2009</w:t>
            </w:r>
          </w:p>
        </w:tc>
        <w:tc>
          <w:tcPr>
            <w:tcW w:w="1440" w:type="dxa"/>
            <w:shd w:val="clear" w:color="auto" w:fill="auto"/>
          </w:tcPr>
          <w:p w:rsidR="00546D4C" w:rsidRDefault="00546D4C" w:rsidP="00546D4C">
            <w:pPr>
              <w:jc w:val="center"/>
            </w:pPr>
            <w:r w:rsidRPr="002C1356">
              <w:rPr>
                <w:sz w:val="22"/>
                <w:szCs w:val="22"/>
              </w:rPr>
              <w:t>31/03/2014 plus up to two years</w:t>
            </w:r>
          </w:p>
        </w:tc>
        <w:tc>
          <w:tcPr>
            <w:tcW w:w="1657" w:type="dxa"/>
            <w:shd w:val="clear" w:color="auto" w:fill="auto"/>
          </w:tcPr>
          <w:p w:rsidR="00546D4C" w:rsidRPr="005B3108" w:rsidRDefault="00546D4C" w:rsidP="00440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Five plus up to two years</w:t>
            </w:r>
          </w:p>
        </w:tc>
        <w:tc>
          <w:tcPr>
            <w:tcW w:w="2213" w:type="dxa"/>
            <w:shd w:val="clear" w:color="auto" w:fill="auto"/>
          </w:tcPr>
          <w:p w:rsidR="00546D4C" w:rsidRPr="005B3108" w:rsidRDefault="00546D4C" w:rsidP="00B51877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Schedule of Rates</w:t>
            </w:r>
            <w:r>
              <w:rPr>
                <w:sz w:val="22"/>
                <w:szCs w:val="22"/>
              </w:rPr>
              <w:t>: in-house supplier</w:t>
            </w:r>
          </w:p>
        </w:tc>
        <w:tc>
          <w:tcPr>
            <w:tcW w:w="3690" w:type="dxa"/>
            <w:shd w:val="clear" w:color="auto" w:fill="auto"/>
          </w:tcPr>
          <w:p w:rsidR="00546D4C" w:rsidRPr="005B3108" w:rsidRDefault="00546D4C" w:rsidP="007746EF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 xml:space="preserve">Bespoke schedule of rates, based on MMHW, indexed annually using Construction Price Adjustment Formula </w:t>
            </w:r>
          </w:p>
        </w:tc>
        <w:tc>
          <w:tcPr>
            <w:tcW w:w="1530" w:type="dxa"/>
            <w:shd w:val="clear" w:color="auto" w:fill="auto"/>
          </w:tcPr>
          <w:p w:rsidR="00546D4C" w:rsidRPr="005B3108" w:rsidRDefault="00546D4C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ICE Term Contract 2002</w:t>
            </w:r>
          </w:p>
        </w:tc>
        <w:tc>
          <w:tcPr>
            <w:tcW w:w="1759" w:type="dxa"/>
            <w:shd w:val="clear" w:color="auto" w:fill="auto"/>
          </w:tcPr>
          <w:p w:rsidR="00546D4C" w:rsidRPr="006B68F0" w:rsidRDefault="006B68F0" w:rsidP="006B68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Approx</w:t>
            </w:r>
            <w:proofErr w:type="spellEnd"/>
            <w:r>
              <w:rPr>
                <w:sz w:val="22"/>
                <w:szCs w:val="22"/>
              </w:rPr>
              <w:t xml:space="preserve"> £750k</w:t>
            </w:r>
            <w:r w:rsidR="00546D4C" w:rsidRPr="006B68F0">
              <w:rPr>
                <w:sz w:val="22"/>
                <w:szCs w:val="22"/>
              </w:rPr>
              <w:t xml:space="preserve"> per year</w:t>
            </w:r>
          </w:p>
        </w:tc>
        <w:tc>
          <w:tcPr>
            <w:tcW w:w="1751" w:type="dxa"/>
            <w:shd w:val="clear" w:color="auto" w:fill="auto"/>
          </w:tcPr>
          <w:p w:rsidR="00546D4C" w:rsidRPr="005B3108" w:rsidRDefault="00546D4C" w:rsidP="00B46ECA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City Highways (DSO)</w:t>
            </w:r>
          </w:p>
        </w:tc>
        <w:tc>
          <w:tcPr>
            <w:tcW w:w="3413" w:type="dxa"/>
            <w:shd w:val="clear" w:color="auto" w:fill="auto"/>
          </w:tcPr>
          <w:p w:rsidR="00546D4C" w:rsidRPr="005B3108" w:rsidRDefault="00546D4C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Currently in first of two one-year extensions</w:t>
            </w:r>
          </w:p>
        </w:tc>
      </w:tr>
      <w:tr w:rsidR="00546D4C" w:rsidRPr="005B3108" w:rsidTr="00A50777">
        <w:trPr>
          <w:cantSplit/>
        </w:trPr>
        <w:tc>
          <w:tcPr>
            <w:tcW w:w="3355" w:type="dxa"/>
            <w:shd w:val="clear" w:color="auto" w:fill="auto"/>
          </w:tcPr>
          <w:p w:rsidR="00546D4C" w:rsidRPr="005B3108" w:rsidRDefault="00546D4C" w:rsidP="00544B2C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Term Maintenance Contact for Highway Works, 2009-2014, Schedule C: HRA Repairs</w:t>
            </w:r>
          </w:p>
        </w:tc>
        <w:tc>
          <w:tcPr>
            <w:tcW w:w="1440" w:type="dxa"/>
            <w:shd w:val="clear" w:color="auto" w:fill="auto"/>
          </w:tcPr>
          <w:p w:rsidR="00546D4C" w:rsidRPr="005B3108" w:rsidRDefault="00546D4C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01/04/2009</w:t>
            </w:r>
          </w:p>
        </w:tc>
        <w:tc>
          <w:tcPr>
            <w:tcW w:w="1440" w:type="dxa"/>
            <w:shd w:val="clear" w:color="auto" w:fill="auto"/>
          </w:tcPr>
          <w:p w:rsidR="00546D4C" w:rsidRDefault="00546D4C" w:rsidP="00546D4C">
            <w:pPr>
              <w:jc w:val="center"/>
            </w:pPr>
            <w:r w:rsidRPr="002C1356">
              <w:rPr>
                <w:sz w:val="22"/>
                <w:szCs w:val="22"/>
              </w:rPr>
              <w:t>31/03/2014 plus up to two years</w:t>
            </w:r>
          </w:p>
        </w:tc>
        <w:tc>
          <w:tcPr>
            <w:tcW w:w="1657" w:type="dxa"/>
            <w:shd w:val="clear" w:color="auto" w:fill="auto"/>
          </w:tcPr>
          <w:p w:rsidR="00546D4C" w:rsidRPr="005B3108" w:rsidRDefault="00546D4C" w:rsidP="00440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Five plus up to two years</w:t>
            </w:r>
          </w:p>
        </w:tc>
        <w:tc>
          <w:tcPr>
            <w:tcW w:w="2213" w:type="dxa"/>
            <w:shd w:val="clear" w:color="auto" w:fill="auto"/>
          </w:tcPr>
          <w:p w:rsidR="00546D4C" w:rsidRPr="005B3108" w:rsidRDefault="00546D4C" w:rsidP="00B51877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Schedule of Rates</w:t>
            </w:r>
            <w:r>
              <w:rPr>
                <w:sz w:val="22"/>
                <w:szCs w:val="22"/>
              </w:rPr>
              <w:t>: in-house supplier</w:t>
            </w:r>
          </w:p>
        </w:tc>
        <w:tc>
          <w:tcPr>
            <w:tcW w:w="3690" w:type="dxa"/>
            <w:shd w:val="clear" w:color="auto" w:fill="auto"/>
          </w:tcPr>
          <w:p w:rsidR="00546D4C" w:rsidRPr="005B3108" w:rsidRDefault="00546D4C" w:rsidP="007746EF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 xml:space="preserve">Bespoke schedule of rates, based on MMHW, indexed annually using Construction Price Adjustment Formula </w:t>
            </w:r>
          </w:p>
        </w:tc>
        <w:tc>
          <w:tcPr>
            <w:tcW w:w="1530" w:type="dxa"/>
            <w:shd w:val="clear" w:color="auto" w:fill="auto"/>
          </w:tcPr>
          <w:p w:rsidR="00546D4C" w:rsidRPr="005B3108" w:rsidRDefault="00546D4C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ICE Term Contract 2002</w:t>
            </w:r>
          </w:p>
        </w:tc>
        <w:tc>
          <w:tcPr>
            <w:tcW w:w="1759" w:type="dxa"/>
            <w:shd w:val="clear" w:color="auto" w:fill="auto"/>
          </w:tcPr>
          <w:p w:rsidR="00546D4C" w:rsidRPr="006B68F0" w:rsidRDefault="00546D4C" w:rsidP="006B68F0">
            <w:pPr>
              <w:jc w:val="center"/>
              <w:rPr>
                <w:sz w:val="22"/>
                <w:szCs w:val="22"/>
              </w:rPr>
            </w:pPr>
            <w:proofErr w:type="spellStart"/>
            <w:r w:rsidRPr="006B68F0">
              <w:rPr>
                <w:sz w:val="22"/>
                <w:szCs w:val="22"/>
              </w:rPr>
              <w:t>Approx</w:t>
            </w:r>
            <w:proofErr w:type="spellEnd"/>
            <w:r w:rsidRPr="006B68F0">
              <w:rPr>
                <w:sz w:val="22"/>
                <w:szCs w:val="22"/>
              </w:rPr>
              <w:t xml:space="preserve"> £</w:t>
            </w:r>
            <w:r w:rsidR="006B68F0">
              <w:rPr>
                <w:sz w:val="22"/>
                <w:szCs w:val="22"/>
              </w:rPr>
              <w:t>15</w:t>
            </w:r>
            <w:r w:rsidRPr="006B68F0">
              <w:rPr>
                <w:sz w:val="22"/>
                <w:szCs w:val="22"/>
              </w:rPr>
              <w:t>0k per year</w:t>
            </w:r>
          </w:p>
        </w:tc>
        <w:tc>
          <w:tcPr>
            <w:tcW w:w="1751" w:type="dxa"/>
            <w:shd w:val="clear" w:color="auto" w:fill="auto"/>
          </w:tcPr>
          <w:p w:rsidR="00546D4C" w:rsidRPr="005B3108" w:rsidRDefault="00546D4C" w:rsidP="00B46ECA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City Highways (DSO)</w:t>
            </w:r>
          </w:p>
        </w:tc>
        <w:tc>
          <w:tcPr>
            <w:tcW w:w="3413" w:type="dxa"/>
            <w:shd w:val="clear" w:color="auto" w:fill="auto"/>
          </w:tcPr>
          <w:p w:rsidR="00546D4C" w:rsidRPr="005B3108" w:rsidRDefault="00546D4C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Currently in first of two one-year extensions</w:t>
            </w:r>
          </w:p>
        </w:tc>
      </w:tr>
      <w:tr w:rsidR="00546D4C" w:rsidRPr="005B3108" w:rsidTr="00A50777">
        <w:trPr>
          <w:cantSplit/>
        </w:trPr>
        <w:tc>
          <w:tcPr>
            <w:tcW w:w="3355" w:type="dxa"/>
            <w:shd w:val="clear" w:color="auto" w:fill="auto"/>
          </w:tcPr>
          <w:p w:rsidR="00546D4C" w:rsidRPr="005B3108" w:rsidRDefault="00546D4C" w:rsidP="00544B2C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Term Maintenance Contact for Highway Works, 2009-2014, Schedule D: Road Markings and Studs</w:t>
            </w:r>
          </w:p>
        </w:tc>
        <w:tc>
          <w:tcPr>
            <w:tcW w:w="1440" w:type="dxa"/>
            <w:shd w:val="clear" w:color="auto" w:fill="auto"/>
          </w:tcPr>
          <w:p w:rsidR="00546D4C" w:rsidRPr="005B3108" w:rsidRDefault="00546D4C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01/04/2009</w:t>
            </w:r>
          </w:p>
        </w:tc>
        <w:tc>
          <w:tcPr>
            <w:tcW w:w="1440" w:type="dxa"/>
            <w:shd w:val="clear" w:color="auto" w:fill="auto"/>
          </w:tcPr>
          <w:p w:rsidR="00546D4C" w:rsidRDefault="00546D4C" w:rsidP="00546D4C">
            <w:pPr>
              <w:jc w:val="center"/>
            </w:pPr>
            <w:r w:rsidRPr="002C1356">
              <w:rPr>
                <w:sz w:val="22"/>
                <w:szCs w:val="22"/>
              </w:rPr>
              <w:t>31/03/2014 plus up to two years</w:t>
            </w:r>
          </w:p>
        </w:tc>
        <w:tc>
          <w:tcPr>
            <w:tcW w:w="1657" w:type="dxa"/>
            <w:shd w:val="clear" w:color="auto" w:fill="auto"/>
          </w:tcPr>
          <w:p w:rsidR="00546D4C" w:rsidRPr="005B3108" w:rsidRDefault="00546D4C" w:rsidP="00440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Five plus up to two years</w:t>
            </w:r>
          </w:p>
        </w:tc>
        <w:tc>
          <w:tcPr>
            <w:tcW w:w="2213" w:type="dxa"/>
            <w:shd w:val="clear" w:color="auto" w:fill="auto"/>
          </w:tcPr>
          <w:p w:rsidR="00546D4C" w:rsidRPr="005B3108" w:rsidRDefault="00546D4C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Schedule of Rates</w:t>
            </w:r>
            <w:r>
              <w:rPr>
                <w:sz w:val="22"/>
                <w:szCs w:val="22"/>
              </w:rPr>
              <w:t xml:space="preserve"> awarded after non-EU competitive tenders</w:t>
            </w:r>
          </w:p>
        </w:tc>
        <w:tc>
          <w:tcPr>
            <w:tcW w:w="3690" w:type="dxa"/>
            <w:shd w:val="clear" w:color="auto" w:fill="auto"/>
          </w:tcPr>
          <w:p w:rsidR="00546D4C" w:rsidRPr="005B3108" w:rsidRDefault="00546D4C" w:rsidP="007746EF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 xml:space="preserve">Bespoke schedule of rates, based on MMHW, indexed annually using Construction Price Adjustment Formula </w:t>
            </w:r>
          </w:p>
        </w:tc>
        <w:tc>
          <w:tcPr>
            <w:tcW w:w="1530" w:type="dxa"/>
            <w:shd w:val="clear" w:color="auto" w:fill="auto"/>
          </w:tcPr>
          <w:p w:rsidR="00546D4C" w:rsidRPr="005B3108" w:rsidRDefault="00546D4C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ICE Term Contract 2002</w:t>
            </w:r>
          </w:p>
        </w:tc>
        <w:tc>
          <w:tcPr>
            <w:tcW w:w="1759" w:type="dxa"/>
            <w:shd w:val="clear" w:color="auto" w:fill="auto"/>
          </w:tcPr>
          <w:p w:rsidR="00546D4C" w:rsidRPr="006B68F0" w:rsidRDefault="00546D4C" w:rsidP="00BD5AFE">
            <w:pPr>
              <w:jc w:val="center"/>
              <w:rPr>
                <w:sz w:val="22"/>
                <w:szCs w:val="22"/>
              </w:rPr>
            </w:pPr>
            <w:proofErr w:type="spellStart"/>
            <w:r w:rsidRPr="006B68F0">
              <w:rPr>
                <w:sz w:val="22"/>
                <w:szCs w:val="22"/>
              </w:rPr>
              <w:t>Approx</w:t>
            </w:r>
            <w:proofErr w:type="spellEnd"/>
            <w:r w:rsidRPr="006B68F0">
              <w:rPr>
                <w:sz w:val="22"/>
                <w:szCs w:val="22"/>
              </w:rPr>
              <w:t xml:space="preserve"> £</w:t>
            </w:r>
            <w:r w:rsidR="00A140AA" w:rsidRPr="006B68F0">
              <w:rPr>
                <w:sz w:val="22"/>
                <w:szCs w:val="22"/>
              </w:rPr>
              <w:t>1</w:t>
            </w:r>
            <w:r w:rsidRPr="006B68F0">
              <w:rPr>
                <w:sz w:val="22"/>
                <w:szCs w:val="22"/>
              </w:rPr>
              <w:t>00k per year</w:t>
            </w:r>
          </w:p>
        </w:tc>
        <w:tc>
          <w:tcPr>
            <w:tcW w:w="1751" w:type="dxa"/>
            <w:shd w:val="clear" w:color="auto" w:fill="auto"/>
          </w:tcPr>
          <w:p w:rsidR="00546D4C" w:rsidRPr="005B3108" w:rsidRDefault="00546D4C" w:rsidP="00DA7815">
            <w:pPr>
              <w:jc w:val="center"/>
              <w:rPr>
                <w:sz w:val="22"/>
                <w:szCs w:val="22"/>
              </w:rPr>
            </w:pPr>
            <w:proofErr w:type="spellStart"/>
            <w:r w:rsidRPr="005B3108">
              <w:rPr>
                <w:sz w:val="22"/>
                <w:szCs w:val="22"/>
              </w:rPr>
              <w:t>WJ</w:t>
            </w:r>
            <w:proofErr w:type="spellEnd"/>
            <w:r w:rsidRPr="005B3108">
              <w:rPr>
                <w:sz w:val="22"/>
                <w:szCs w:val="22"/>
              </w:rPr>
              <w:t xml:space="preserve"> </w:t>
            </w:r>
            <w:proofErr w:type="spellStart"/>
            <w:r w:rsidRPr="005B3108">
              <w:rPr>
                <w:sz w:val="22"/>
                <w:szCs w:val="22"/>
              </w:rPr>
              <w:t>Linkline</w:t>
            </w:r>
            <w:proofErr w:type="spellEnd"/>
            <w:r w:rsidRPr="005B3108">
              <w:rPr>
                <w:sz w:val="22"/>
                <w:szCs w:val="22"/>
              </w:rPr>
              <w:t xml:space="preserve"> Maintenance Services Ltd</w:t>
            </w:r>
          </w:p>
        </w:tc>
        <w:tc>
          <w:tcPr>
            <w:tcW w:w="3413" w:type="dxa"/>
            <w:shd w:val="clear" w:color="auto" w:fill="auto"/>
          </w:tcPr>
          <w:p w:rsidR="00546D4C" w:rsidRPr="005B3108" w:rsidRDefault="00546D4C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Currently in first of two one-year extensions</w:t>
            </w:r>
          </w:p>
        </w:tc>
      </w:tr>
      <w:tr w:rsidR="00546D4C" w:rsidRPr="005B3108" w:rsidTr="00A50777">
        <w:trPr>
          <w:cantSplit/>
        </w:trPr>
        <w:tc>
          <w:tcPr>
            <w:tcW w:w="3355" w:type="dxa"/>
            <w:shd w:val="clear" w:color="auto" w:fill="auto"/>
          </w:tcPr>
          <w:p w:rsidR="00546D4C" w:rsidRPr="005B3108" w:rsidRDefault="00546D4C" w:rsidP="00544B2C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Term Maintenance Contact for Highway Works, 2009-2014, Schedule E: Domestic Footway Crossings</w:t>
            </w:r>
          </w:p>
        </w:tc>
        <w:tc>
          <w:tcPr>
            <w:tcW w:w="1440" w:type="dxa"/>
            <w:shd w:val="clear" w:color="auto" w:fill="auto"/>
          </w:tcPr>
          <w:p w:rsidR="00546D4C" w:rsidRPr="005B3108" w:rsidRDefault="00546D4C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01/04/2009</w:t>
            </w:r>
          </w:p>
        </w:tc>
        <w:tc>
          <w:tcPr>
            <w:tcW w:w="1440" w:type="dxa"/>
            <w:shd w:val="clear" w:color="auto" w:fill="auto"/>
          </w:tcPr>
          <w:p w:rsidR="00546D4C" w:rsidRDefault="00546D4C" w:rsidP="00546D4C">
            <w:pPr>
              <w:jc w:val="center"/>
            </w:pPr>
            <w:r w:rsidRPr="002C1356">
              <w:rPr>
                <w:sz w:val="22"/>
                <w:szCs w:val="22"/>
              </w:rPr>
              <w:t>31/03/2014 plus up to two years</w:t>
            </w:r>
          </w:p>
        </w:tc>
        <w:tc>
          <w:tcPr>
            <w:tcW w:w="1657" w:type="dxa"/>
            <w:shd w:val="clear" w:color="auto" w:fill="auto"/>
          </w:tcPr>
          <w:p w:rsidR="00546D4C" w:rsidRPr="005B3108" w:rsidRDefault="00546D4C" w:rsidP="00440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Five plus up to two years</w:t>
            </w:r>
          </w:p>
        </w:tc>
        <w:tc>
          <w:tcPr>
            <w:tcW w:w="2213" w:type="dxa"/>
            <w:shd w:val="clear" w:color="auto" w:fill="auto"/>
          </w:tcPr>
          <w:p w:rsidR="00546D4C" w:rsidRPr="005B3108" w:rsidRDefault="00546D4C" w:rsidP="00B51877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Schedule of Rates</w:t>
            </w:r>
            <w:r>
              <w:rPr>
                <w:sz w:val="22"/>
                <w:szCs w:val="22"/>
              </w:rPr>
              <w:t>: in-house supplier</w:t>
            </w:r>
          </w:p>
        </w:tc>
        <w:tc>
          <w:tcPr>
            <w:tcW w:w="3690" w:type="dxa"/>
            <w:shd w:val="clear" w:color="auto" w:fill="auto"/>
          </w:tcPr>
          <w:p w:rsidR="00546D4C" w:rsidRPr="005B3108" w:rsidRDefault="00546D4C" w:rsidP="007746EF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 xml:space="preserve">Bespoke schedule of rates, based on MMHW, indexed annually using Construction Price Adjustment Formula </w:t>
            </w:r>
          </w:p>
        </w:tc>
        <w:tc>
          <w:tcPr>
            <w:tcW w:w="1530" w:type="dxa"/>
            <w:shd w:val="clear" w:color="auto" w:fill="auto"/>
          </w:tcPr>
          <w:p w:rsidR="00546D4C" w:rsidRPr="005B3108" w:rsidRDefault="00546D4C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ICE Term Contract 2002</w:t>
            </w:r>
          </w:p>
        </w:tc>
        <w:tc>
          <w:tcPr>
            <w:tcW w:w="1759" w:type="dxa"/>
            <w:shd w:val="clear" w:color="auto" w:fill="auto"/>
          </w:tcPr>
          <w:p w:rsidR="00546D4C" w:rsidRPr="006B68F0" w:rsidRDefault="00546D4C" w:rsidP="006B68F0">
            <w:pPr>
              <w:jc w:val="center"/>
              <w:rPr>
                <w:sz w:val="22"/>
                <w:szCs w:val="22"/>
              </w:rPr>
            </w:pPr>
            <w:proofErr w:type="spellStart"/>
            <w:r w:rsidRPr="006B68F0">
              <w:rPr>
                <w:sz w:val="22"/>
                <w:szCs w:val="22"/>
              </w:rPr>
              <w:t>Approx</w:t>
            </w:r>
            <w:proofErr w:type="spellEnd"/>
            <w:r w:rsidRPr="006B68F0">
              <w:rPr>
                <w:sz w:val="22"/>
                <w:szCs w:val="22"/>
              </w:rPr>
              <w:t xml:space="preserve"> £</w:t>
            </w:r>
            <w:r w:rsidR="00A140AA" w:rsidRPr="006B68F0">
              <w:rPr>
                <w:sz w:val="22"/>
                <w:szCs w:val="22"/>
              </w:rPr>
              <w:t>5</w:t>
            </w:r>
            <w:r w:rsidR="006B68F0">
              <w:rPr>
                <w:sz w:val="22"/>
                <w:szCs w:val="22"/>
              </w:rPr>
              <w:t>0</w:t>
            </w:r>
            <w:r w:rsidRPr="006B68F0">
              <w:rPr>
                <w:sz w:val="22"/>
                <w:szCs w:val="22"/>
              </w:rPr>
              <w:t>k per year</w:t>
            </w:r>
          </w:p>
        </w:tc>
        <w:tc>
          <w:tcPr>
            <w:tcW w:w="1751" w:type="dxa"/>
            <w:shd w:val="clear" w:color="auto" w:fill="auto"/>
          </w:tcPr>
          <w:p w:rsidR="00546D4C" w:rsidRPr="005B3108" w:rsidRDefault="00546D4C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City Highways (DSO)</w:t>
            </w:r>
          </w:p>
        </w:tc>
        <w:tc>
          <w:tcPr>
            <w:tcW w:w="3413" w:type="dxa"/>
            <w:shd w:val="clear" w:color="auto" w:fill="auto"/>
          </w:tcPr>
          <w:p w:rsidR="00546D4C" w:rsidRPr="005B3108" w:rsidRDefault="00546D4C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Currently in first of two one-year extensions</w:t>
            </w:r>
          </w:p>
        </w:tc>
      </w:tr>
      <w:tr w:rsidR="00546D4C" w:rsidRPr="005B3108" w:rsidTr="00A50777">
        <w:trPr>
          <w:cantSplit/>
        </w:trPr>
        <w:tc>
          <w:tcPr>
            <w:tcW w:w="3355" w:type="dxa"/>
            <w:shd w:val="clear" w:color="auto" w:fill="auto"/>
          </w:tcPr>
          <w:p w:rsidR="00546D4C" w:rsidRPr="005B3108" w:rsidRDefault="00546D4C" w:rsidP="00544B2C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Term Maintenance Contact for Highway Works, 2009-2014, Schedule F: Anti-skid and coloured surfacing</w:t>
            </w:r>
          </w:p>
        </w:tc>
        <w:tc>
          <w:tcPr>
            <w:tcW w:w="1440" w:type="dxa"/>
            <w:shd w:val="clear" w:color="auto" w:fill="auto"/>
          </w:tcPr>
          <w:p w:rsidR="00546D4C" w:rsidRPr="005B3108" w:rsidRDefault="00546D4C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01/04/2009</w:t>
            </w:r>
          </w:p>
        </w:tc>
        <w:tc>
          <w:tcPr>
            <w:tcW w:w="1440" w:type="dxa"/>
            <w:shd w:val="clear" w:color="auto" w:fill="auto"/>
          </w:tcPr>
          <w:p w:rsidR="00546D4C" w:rsidRDefault="00546D4C" w:rsidP="00546D4C">
            <w:pPr>
              <w:jc w:val="center"/>
            </w:pPr>
            <w:r w:rsidRPr="002C1356">
              <w:rPr>
                <w:sz w:val="22"/>
                <w:szCs w:val="22"/>
              </w:rPr>
              <w:t>31/03/2014 plus up to two years</w:t>
            </w:r>
          </w:p>
        </w:tc>
        <w:tc>
          <w:tcPr>
            <w:tcW w:w="1657" w:type="dxa"/>
            <w:shd w:val="clear" w:color="auto" w:fill="auto"/>
          </w:tcPr>
          <w:p w:rsidR="00546D4C" w:rsidRPr="005B3108" w:rsidRDefault="00546D4C" w:rsidP="00440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Five plus up to two years</w:t>
            </w:r>
          </w:p>
        </w:tc>
        <w:tc>
          <w:tcPr>
            <w:tcW w:w="2213" w:type="dxa"/>
            <w:shd w:val="clear" w:color="auto" w:fill="auto"/>
          </w:tcPr>
          <w:p w:rsidR="00546D4C" w:rsidRPr="005B3108" w:rsidRDefault="00546D4C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Schedule of Rates</w:t>
            </w:r>
            <w:r>
              <w:rPr>
                <w:sz w:val="22"/>
                <w:szCs w:val="22"/>
              </w:rPr>
              <w:t xml:space="preserve"> awarded after non-EU competitive tenders</w:t>
            </w:r>
          </w:p>
        </w:tc>
        <w:tc>
          <w:tcPr>
            <w:tcW w:w="3690" w:type="dxa"/>
            <w:shd w:val="clear" w:color="auto" w:fill="auto"/>
          </w:tcPr>
          <w:p w:rsidR="00546D4C" w:rsidRPr="005B3108" w:rsidRDefault="00546D4C" w:rsidP="007746EF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 xml:space="preserve">Bespoke schedule of rates, based on MMHW, indexed annually using Construction Price Adjustment Formula </w:t>
            </w:r>
          </w:p>
        </w:tc>
        <w:tc>
          <w:tcPr>
            <w:tcW w:w="1530" w:type="dxa"/>
            <w:shd w:val="clear" w:color="auto" w:fill="auto"/>
          </w:tcPr>
          <w:p w:rsidR="00546D4C" w:rsidRPr="005B3108" w:rsidRDefault="00546D4C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ICE Term Contract 2002</w:t>
            </w:r>
          </w:p>
        </w:tc>
        <w:tc>
          <w:tcPr>
            <w:tcW w:w="1759" w:type="dxa"/>
            <w:shd w:val="clear" w:color="auto" w:fill="auto"/>
          </w:tcPr>
          <w:p w:rsidR="00546D4C" w:rsidRPr="006B68F0" w:rsidRDefault="00546D4C" w:rsidP="006B68F0">
            <w:pPr>
              <w:jc w:val="center"/>
              <w:rPr>
                <w:sz w:val="22"/>
                <w:szCs w:val="22"/>
              </w:rPr>
            </w:pPr>
            <w:proofErr w:type="spellStart"/>
            <w:r w:rsidRPr="006B68F0">
              <w:rPr>
                <w:sz w:val="22"/>
                <w:szCs w:val="22"/>
              </w:rPr>
              <w:t>Approx</w:t>
            </w:r>
            <w:proofErr w:type="spellEnd"/>
            <w:r w:rsidRPr="006B68F0">
              <w:rPr>
                <w:sz w:val="22"/>
                <w:szCs w:val="22"/>
              </w:rPr>
              <w:t xml:space="preserve"> £</w:t>
            </w:r>
            <w:r w:rsidR="006B68F0">
              <w:rPr>
                <w:sz w:val="22"/>
                <w:szCs w:val="22"/>
              </w:rPr>
              <w:t>75</w:t>
            </w:r>
            <w:r w:rsidRPr="006B68F0">
              <w:rPr>
                <w:sz w:val="22"/>
                <w:szCs w:val="22"/>
              </w:rPr>
              <w:t>k per year</w:t>
            </w:r>
          </w:p>
        </w:tc>
        <w:tc>
          <w:tcPr>
            <w:tcW w:w="1751" w:type="dxa"/>
            <w:shd w:val="clear" w:color="auto" w:fill="auto"/>
          </w:tcPr>
          <w:p w:rsidR="00546D4C" w:rsidRPr="005B3108" w:rsidRDefault="00546D4C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Highway Maintenance Specialists Ltd</w:t>
            </w:r>
          </w:p>
        </w:tc>
        <w:tc>
          <w:tcPr>
            <w:tcW w:w="3413" w:type="dxa"/>
            <w:shd w:val="clear" w:color="auto" w:fill="auto"/>
          </w:tcPr>
          <w:p w:rsidR="00546D4C" w:rsidRPr="005B3108" w:rsidRDefault="00546D4C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Currently in first of two one-year extensions</w:t>
            </w:r>
          </w:p>
        </w:tc>
      </w:tr>
      <w:tr w:rsidR="00546D4C" w:rsidRPr="005B3108" w:rsidTr="00A50777">
        <w:trPr>
          <w:cantSplit/>
        </w:trPr>
        <w:tc>
          <w:tcPr>
            <w:tcW w:w="3355" w:type="dxa"/>
            <w:shd w:val="clear" w:color="auto" w:fill="auto"/>
          </w:tcPr>
          <w:p w:rsidR="00B51877" w:rsidRPr="005B3108" w:rsidRDefault="00B51877" w:rsidP="001F6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Highways Framework Contract, 2006-10: General Civil Engineering </w:t>
            </w:r>
          </w:p>
        </w:tc>
        <w:tc>
          <w:tcPr>
            <w:tcW w:w="1440" w:type="dxa"/>
            <w:shd w:val="clear" w:color="auto" w:fill="auto"/>
          </w:tcPr>
          <w:p w:rsidR="00B51877" w:rsidRPr="005B3108" w:rsidRDefault="00B51877" w:rsidP="00DA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01/12/2006</w:t>
            </w:r>
          </w:p>
        </w:tc>
        <w:tc>
          <w:tcPr>
            <w:tcW w:w="1440" w:type="dxa"/>
            <w:shd w:val="clear" w:color="auto" w:fill="auto"/>
          </w:tcPr>
          <w:p w:rsidR="00B51877" w:rsidRPr="005B3108" w:rsidRDefault="00B51877" w:rsidP="00546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30/11/2010</w:t>
            </w:r>
            <w:r w:rsidR="00546D4C">
              <w:rPr>
                <w:sz w:val="22"/>
                <w:szCs w:val="22"/>
              </w:rPr>
              <w:t xml:space="preserve"> plus one of the two optional years</w:t>
            </w:r>
          </w:p>
        </w:tc>
        <w:tc>
          <w:tcPr>
            <w:tcW w:w="1657" w:type="dxa"/>
            <w:shd w:val="clear" w:color="auto" w:fill="auto"/>
          </w:tcPr>
          <w:p w:rsidR="00B51877" w:rsidRPr="005B3108" w:rsidRDefault="00546D4C" w:rsidP="00546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Continued using in-house supplier only</w:t>
            </w:r>
          </w:p>
        </w:tc>
        <w:tc>
          <w:tcPr>
            <w:tcW w:w="2213" w:type="dxa"/>
            <w:shd w:val="clear" w:color="auto" w:fill="auto"/>
          </w:tcPr>
          <w:p w:rsidR="00B51877" w:rsidRPr="005B3108" w:rsidRDefault="00B51877" w:rsidP="00546D4C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Schedule of Rates</w:t>
            </w:r>
            <w:r>
              <w:rPr>
                <w:sz w:val="22"/>
                <w:szCs w:val="22"/>
              </w:rPr>
              <w:t>: in-house supplier</w:t>
            </w:r>
            <w:r w:rsidR="00546D4C">
              <w:rPr>
                <w:sz w:val="22"/>
                <w:szCs w:val="22"/>
              </w:rPr>
              <w:t xml:space="preserve">, with </w:t>
            </w:r>
            <w:r>
              <w:rPr>
                <w:sz w:val="22"/>
                <w:szCs w:val="22"/>
              </w:rPr>
              <w:t>benchmark</w:t>
            </w:r>
            <w:r w:rsidR="00956513">
              <w:rPr>
                <w:sz w:val="22"/>
                <w:szCs w:val="22"/>
              </w:rPr>
              <w:t>ed rates</w:t>
            </w:r>
          </w:p>
        </w:tc>
        <w:tc>
          <w:tcPr>
            <w:tcW w:w="3690" w:type="dxa"/>
            <w:shd w:val="clear" w:color="auto" w:fill="auto"/>
          </w:tcPr>
          <w:p w:rsidR="00B51877" w:rsidRPr="005B3108" w:rsidRDefault="00B51877" w:rsidP="00546D4C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 xml:space="preserve">Bespoke schedule of rates, based on MMHW, indexed annually using </w:t>
            </w:r>
            <w:r w:rsidR="00546D4C">
              <w:rPr>
                <w:sz w:val="22"/>
                <w:szCs w:val="22"/>
              </w:rPr>
              <w:t xml:space="preserve">RPI </w:t>
            </w:r>
          </w:p>
        </w:tc>
        <w:tc>
          <w:tcPr>
            <w:tcW w:w="1530" w:type="dxa"/>
            <w:shd w:val="clear" w:color="auto" w:fill="auto"/>
          </w:tcPr>
          <w:p w:rsidR="00B51877" w:rsidRPr="005B3108" w:rsidRDefault="00B51877" w:rsidP="00DA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ECC3</w:t>
            </w:r>
            <w:r w:rsidR="00A50777">
              <w:rPr>
                <w:sz w:val="22"/>
                <w:szCs w:val="22"/>
              </w:rPr>
              <w:t>, Option B</w:t>
            </w:r>
          </w:p>
        </w:tc>
        <w:tc>
          <w:tcPr>
            <w:tcW w:w="1759" w:type="dxa"/>
            <w:shd w:val="clear" w:color="auto" w:fill="auto"/>
          </w:tcPr>
          <w:p w:rsidR="00B51877" w:rsidRPr="006B68F0" w:rsidRDefault="00B51877" w:rsidP="006B68F0">
            <w:pPr>
              <w:jc w:val="center"/>
              <w:rPr>
                <w:sz w:val="22"/>
                <w:szCs w:val="22"/>
              </w:rPr>
            </w:pPr>
            <w:r w:rsidRPr="006B68F0">
              <w:rPr>
                <w:sz w:val="22"/>
                <w:szCs w:val="22"/>
              </w:rPr>
              <w:t>Over £250k per site, approx. £</w:t>
            </w:r>
            <w:r w:rsidR="006B68F0">
              <w:rPr>
                <w:sz w:val="22"/>
                <w:szCs w:val="22"/>
              </w:rPr>
              <w:t>2</w:t>
            </w:r>
            <w:r w:rsidRPr="006B68F0">
              <w:rPr>
                <w:sz w:val="22"/>
                <w:szCs w:val="22"/>
              </w:rPr>
              <w:t>m per year</w:t>
            </w:r>
          </w:p>
        </w:tc>
        <w:tc>
          <w:tcPr>
            <w:tcW w:w="1751" w:type="dxa"/>
            <w:shd w:val="clear" w:color="auto" w:fill="auto"/>
          </w:tcPr>
          <w:p w:rsidR="00B51877" w:rsidRPr="005B3108" w:rsidRDefault="00B51877" w:rsidP="00222576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City Highways (DSO)</w:t>
            </w:r>
          </w:p>
        </w:tc>
        <w:tc>
          <w:tcPr>
            <w:tcW w:w="3413" w:type="dxa"/>
            <w:shd w:val="clear" w:color="auto" w:fill="auto"/>
          </w:tcPr>
          <w:p w:rsidR="00B51877" w:rsidRPr="005B3108" w:rsidRDefault="00B51877" w:rsidP="00B51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Used for general civil engineering and highway schemes valued higher than the £250k limit of Schedule A</w:t>
            </w:r>
          </w:p>
        </w:tc>
      </w:tr>
      <w:tr w:rsidR="00546D4C" w:rsidRPr="005B3108" w:rsidTr="00A50777">
        <w:trPr>
          <w:cantSplit/>
        </w:trPr>
        <w:tc>
          <w:tcPr>
            <w:tcW w:w="3355" w:type="dxa"/>
            <w:shd w:val="clear" w:color="auto" w:fill="auto"/>
          </w:tcPr>
          <w:p w:rsidR="00B51877" w:rsidRPr="005B3108" w:rsidRDefault="00B51877" w:rsidP="001F6064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Traffic Signals Maintenance Contact, 2013-2020</w:t>
            </w:r>
          </w:p>
        </w:tc>
        <w:tc>
          <w:tcPr>
            <w:tcW w:w="1440" w:type="dxa"/>
            <w:shd w:val="clear" w:color="auto" w:fill="auto"/>
          </w:tcPr>
          <w:p w:rsidR="00B51877" w:rsidRPr="005B3108" w:rsidRDefault="00B51877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01/02/2013</w:t>
            </w:r>
          </w:p>
        </w:tc>
        <w:tc>
          <w:tcPr>
            <w:tcW w:w="1440" w:type="dxa"/>
            <w:shd w:val="clear" w:color="auto" w:fill="auto"/>
          </w:tcPr>
          <w:p w:rsidR="00B51877" w:rsidRPr="005B3108" w:rsidRDefault="00B51877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31/07/2020</w:t>
            </w:r>
          </w:p>
        </w:tc>
        <w:tc>
          <w:tcPr>
            <w:tcW w:w="1657" w:type="dxa"/>
            <w:shd w:val="clear" w:color="auto" w:fill="auto"/>
          </w:tcPr>
          <w:p w:rsidR="00B51877" w:rsidRPr="005B3108" w:rsidRDefault="00B51877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None</w:t>
            </w:r>
          </w:p>
        </w:tc>
        <w:tc>
          <w:tcPr>
            <w:tcW w:w="2213" w:type="dxa"/>
            <w:shd w:val="clear" w:color="auto" w:fill="auto"/>
          </w:tcPr>
          <w:p w:rsidR="00B51877" w:rsidRPr="005B3108" w:rsidRDefault="00B51877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Schedule of Rates</w:t>
            </w:r>
            <w:r>
              <w:rPr>
                <w:sz w:val="22"/>
                <w:szCs w:val="22"/>
              </w:rPr>
              <w:t xml:space="preserve"> awarded after</w:t>
            </w:r>
            <w:r w:rsidR="00A50777">
              <w:rPr>
                <w:sz w:val="22"/>
                <w:szCs w:val="22"/>
              </w:rPr>
              <w:t xml:space="preserve"> EU-compliant</w:t>
            </w:r>
            <w:r>
              <w:rPr>
                <w:sz w:val="22"/>
                <w:szCs w:val="22"/>
              </w:rPr>
              <w:t xml:space="preserve"> competitive tenders</w:t>
            </w:r>
          </w:p>
        </w:tc>
        <w:tc>
          <w:tcPr>
            <w:tcW w:w="3690" w:type="dxa"/>
            <w:shd w:val="clear" w:color="auto" w:fill="auto"/>
          </w:tcPr>
          <w:p w:rsidR="00B51877" w:rsidRPr="005B3108" w:rsidRDefault="00B51877" w:rsidP="007746EF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 xml:space="preserve">Bespoke schedule of rates, based on MMHW, indexed annually using Construction Price Adjustment Formula </w:t>
            </w:r>
          </w:p>
        </w:tc>
        <w:tc>
          <w:tcPr>
            <w:tcW w:w="1530" w:type="dxa"/>
            <w:shd w:val="clear" w:color="auto" w:fill="auto"/>
          </w:tcPr>
          <w:p w:rsidR="00B51877" w:rsidRPr="005B3108" w:rsidRDefault="00B51877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ICC Term Version, August 2011</w:t>
            </w:r>
          </w:p>
        </w:tc>
        <w:tc>
          <w:tcPr>
            <w:tcW w:w="1759" w:type="dxa"/>
            <w:shd w:val="clear" w:color="auto" w:fill="auto"/>
          </w:tcPr>
          <w:p w:rsidR="00B51877" w:rsidRPr="005B3108" w:rsidRDefault="006B68F0" w:rsidP="006B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£513k in</w:t>
            </w:r>
            <w:r w:rsidR="00B51877" w:rsidRPr="005B3108">
              <w:rPr>
                <w:sz w:val="22"/>
                <w:szCs w:val="22"/>
              </w:rPr>
              <w:t xml:space="preserve"> Leicester</w:t>
            </w:r>
            <w:r>
              <w:rPr>
                <w:sz w:val="22"/>
                <w:szCs w:val="22"/>
              </w:rPr>
              <w:t xml:space="preserve"> </w:t>
            </w:r>
            <w:r w:rsidR="00B51877" w:rsidRPr="005B3108">
              <w:rPr>
                <w:sz w:val="22"/>
                <w:szCs w:val="22"/>
              </w:rPr>
              <w:t>in 2014-15</w:t>
            </w:r>
          </w:p>
        </w:tc>
        <w:tc>
          <w:tcPr>
            <w:tcW w:w="1751" w:type="dxa"/>
            <w:shd w:val="clear" w:color="auto" w:fill="auto"/>
          </w:tcPr>
          <w:p w:rsidR="00B51877" w:rsidRPr="005B3108" w:rsidRDefault="00B51877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 xml:space="preserve">Siemens Traffic </w:t>
            </w:r>
            <w:r>
              <w:rPr>
                <w:sz w:val="22"/>
                <w:szCs w:val="22"/>
              </w:rPr>
              <w:t>Solutions</w:t>
            </w:r>
          </w:p>
        </w:tc>
        <w:tc>
          <w:tcPr>
            <w:tcW w:w="3413" w:type="dxa"/>
            <w:shd w:val="clear" w:color="auto" w:fill="auto"/>
          </w:tcPr>
          <w:p w:rsidR="00B51877" w:rsidRPr="005B3108" w:rsidRDefault="00B51877" w:rsidP="00B46ECA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Overall contract serves Leicester City, Leicestershire and Rutland County Councils and A-one+ for signals at M1 J21 and the A46 “Hobby Horse” island</w:t>
            </w:r>
          </w:p>
        </w:tc>
      </w:tr>
      <w:tr w:rsidR="00546D4C" w:rsidRPr="005B3108" w:rsidTr="00A50777">
        <w:trPr>
          <w:cantSplit/>
        </w:trPr>
        <w:tc>
          <w:tcPr>
            <w:tcW w:w="3355" w:type="dxa"/>
            <w:shd w:val="clear" w:color="auto" w:fill="auto"/>
          </w:tcPr>
          <w:p w:rsidR="00B51877" w:rsidRPr="005B3108" w:rsidRDefault="00B51877" w:rsidP="00B46ECA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Public Lighting Contract, 2012-2020</w:t>
            </w:r>
          </w:p>
        </w:tc>
        <w:tc>
          <w:tcPr>
            <w:tcW w:w="1440" w:type="dxa"/>
            <w:shd w:val="clear" w:color="auto" w:fill="auto"/>
          </w:tcPr>
          <w:p w:rsidR="00B51877" w:rsidRPr="005B3108" w:rsidRDefault="00B51877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01/10/2012</w:t>
            </w:r>
          </w:p>
        </w:tc>
        <w:tc>
          <w:tcPr>
            <w:tcW w:w="1440" w:type="dxa"/>
            <w:shd w:val="clear" w:color="auto" w:fill="auto"/>
          </w:tcPr>
          <w:p w:rsidR="00B51877" w:rsidRPr="005B3108" w:rsidRDefault="00B51877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30/09/2020</w:t>
            </w:r>
          </w:p>
        </w:tc>
        <w:tc>
          <w:tcPr>
            <w:tcW w:w="1657" w:type="dxa"/>
            <w:shd w:val="clear" w:color="auto" w:fill="auto"/>
          </w:tcPr>
          <w:p w:rsidR="00B51877" w:rsidRPr="005B3108" w:rsidRDefault="00B51877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None</w:t>
            </w:r>
          </w:p>
        </w:tc>
        <w:tc>
          <w:tcPr>
            <w:tcW w:w="2213" w:type="dxa"/>
            <w:shd w:val="clear" w:color="auto" w:fill="auto"/>
          </w:tcPr>
          <w:p w:rsidR="00B51877" w:rsidRPr="005B3108" w:rsidRDefault="00B51877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Schedule of Rates</w:t>
            </w:r>
            <w:r>
              <w:rPr>
                <w:sz w:val="22"/>
                <w:szCs w:val="22"/>
              </w:rPr>
              <w:t xml:space="preserve"> awarded after </w:t>
            </w:r>
            <w:r w:rsidR="00A50777">
              <w:rPr>
                <w:sz w:val="22"/>
                <w:szCs w:val="22"/>
              </w:rPr>
              <w:t xml:space="preserve">EU-compliant </w:t>
            </w:r>
            <w:r>
              <w:rPr>
                <w:sz w:val="22"/>
                <w:szCs w:val="22"/>
              </w:rPr>
              <w:t>competitive tenders</w:t>
            </w:r>
          </w:p>
        </w:tc>
        <w:tc>
          <w:tcPr>
            <w:tcW w:w="3690" w:type="dxa"/>
            <w:shd w:val="clear" w:color="auto" w:fill="auto"/>
          </w:tcPr>
          <w:p w:rsidR="00B51877" w:rsidRPr="005B3108" w:rsidRDefault="00B51877" w:rsidP="007746EF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 xml:space="preserve">Bespoke schedule of rates, based on MMHW, indexed annually using Construction Price Adjustment Formula </w:t>
            </w:r>
          </w:p>
        </w:tc>
        <w:tc>
          <w:tcPr>
            <w:tcW w:w="1530" w:type="dxa"/>
            <w:shd w:val="clear" w:color="auto" w:fill="auto"/>
          </w:tcPr>
          <w:p w:rsidR="00B51877" w:rsidRPr="005B3108" w:rsidRDefault="00B51877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ICC Term Version, August 2011</w:t>
            </w:r>
          </w:p>
        </w:tc>
        <w:tc>
          <w:tcPr>
            <w:tcW w:w="1759" w:type="dxa"/>
            <w:shd w:val="clear" w:color="auto" w:fill="auto"/>
          </w:tcPr>
          <w:p w:rsidR="00700E6F" w:rsidRPr="005B3108" w:rsidRDefault="00700E6F" w:rsidP="00A1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 £18m, of which £4.7</w:t>
            </w:r>
            <w:r w:rsidR="00A140A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m in 2014-15</w:t>
            </w:r>
          </w:p>
        </w:tc>
        <w:tc>
          <w:tcPr>
            <w:tcW w:w="1751" w:type="dxa"/>
            <w:shd w:val="clear" w:color="auto" w:fill="auto"/>
          </w:tcPr>
          <w:p w:rsidR="00B51877" w:rsidRPr="005B3108" w:rsidRDefault="00B51877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Balfour Beatty Living Places Ltd</w:t>
            </w:r>
          </w:p>
        </w:tc>
        <w:tc>
          <w:tcPr>
            <w:tcW w:w="3413" w:type="dxa"/>
            <w:shd w:val="clear" w:color="auto" w:fill="auto"/>
          </w:tcPr>
          <w:p w:rsidR="00B51877" w:rsidRPr="005B3108" w:rsidRDefault="00B51877" w:rsidP="00433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separate note</w:t>
            </w:r>
            <w:r w:rsidR="00433CED">
              <w:rPr>
                <w:sz w:val="22"/>
                <w:szCs w:val="22"/>
              </w:rPr>
              <w:t xml:space="preserve"> following this </w:t>
            </w:r>
            <w:r>
              <w:rPr>
                <w:sz w:val="22"/>
                <w:szCs w:val="22"/>
              </w:rPr>
              <w:t>table</w:t>
            </w:r>
          </w:p>
        </w:tc>
      </w:tr>
      <w:tr w:rsidR="00546D4C" w:rsidRPr="005B3108" w:rsidTr="00A50777">
        <w:trPr>
          <w:cantSplit/>
        </w:trPr>
        <w:tc>
          <w:tcPr>
            <w:tcW w:w="3355" w:type="dxa"/>
            <w:shd w:val="clear" w:color="auto" w:fill="auto"/>
          </w:tcPr>
          <w:p w:rsidR="00B51877" w:rsidRPr="005B3108" w:rsidRDefault="00B51877" w:rsidP="00B46ECA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Maintenance of Highway Structures, 2013-16</w:t>
            </w:r>
          </w:p>
        </w:tc>
        <w:tc>
          <w:tcPr>
            <w:tcW w:w="1440" w:type="dxa"/>
            <w:shd w:val="clear" w:color="auto" w:fill="auto"/>
          </w:tcPr>
          <w:p w:rsidR="00B51877" w:rsidRPr="005B3108" w:rsidRDefault="00B51877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03/02/2014</w:t>
            </w:r>
          </w:p>
        </w:tc>
        <w:tc>
          <w:tcPr>
            <w:tcW w:w="1440" w:type="dxa"/>
            <w:shd w:val="clear" w:color="auto" w:fill="auto"/>
          </w:tcPr>
          <w:p w:rsidR="00B51877" w:rsidRPr="005B3108" w:rsidRDefault="00B51877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02/02/2017</w:t>
            </w:r>
          </w:p>
        </w:tc>
        <w:tc>
          <w:tcPr>
            <w:tcW w:w="1657" w:type="dxa"/>
            <w:shd w:val="clear" w:color="auto" w:fill="auto"/>
          </w:tcPr>
          <w:p w:rsidR="00B51877" w:rsidRPr="005B3108" w:rsidRDefault="00B51877" w:rsidP="00D41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o</w:t>
            </w:r>
            <w:r w:rsidRPr="005B3108">
              <w:rPr>
                <w:sz w:val="22"/>
                <w:szCs w:val="22"/>
              </w:rPr>
              <w:t>ne year</w:t>
            </w:r>
          </w:p>
        </w:tc>
        <w:tc>
          <w:tcPr>
            <w:tcW w:w="2213" w:type="dxa"/>
            <w:shd w:val="clear" w:color="auto" w:fill="auto"/>
          </w:tcPr>
          <w:p w:rsidR="00B51877" w:rsidRPr="005B3108" w:rsidRDefault="00B51877" w:rsidP="00222576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Schedule of Rates</w:t>
            </w:r>
            <w:r>
              <w:rPr>
                <w:sz w:val="22"/>
                <w:szCs w:val="22"/>
              </w:rPr>
              <w:t xml:space="preserve"> awarded after </w:t>
            </w:r>
            <w:r w:rsidR="00A50777">
              <w:rPr>
                <w:sz w:val="22"/>
                <w:szCs w:val="22"/>
              </w:rPr>
              <w:t xml:space="preserve">non-EU </w:t>
            </w:r>
            <w:r>
              <w:rPr>
                <w:sz w:val="22"/>
                <w:szCs w:val="22"/>
              </w:rPr>
              <w:t>competitive tenders</w:t>
            </w:r>
          </w:p>
        </w:tc>
        <w:tc>
          <w:tcPr>
            <w:tcW w:w="3690" w:type="dxa"/>
            <w:shd w:val="clear" w:color="auto" w:fill="auto"/>
          </w:tcPr>
          <w:p w:rsidR="00B51877" w:rsidRPr="005B3108" w:rsidRDefault="00B51877" w:rsidP="00222576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 xml:space="preserve">Bespoke schedule of rates, based on MMHW, indexed annually using Construction Price Adjustment Formula </w:t>
            </w:r>
          </w:p>
        </w:tc>
        <w:tc>
          <w:tcPr>
            <w:tcW w:w="1530" w:type="dxa"/>
            <w:shd w:val="clear" w:color="auto" w:fill="auto"/>
          </w:tcPr>
          <w:p w:rsidR="00B51877" w:rsidRPr="005B3108" w:rsidRDefault="00B51877" w:rsidP="00222576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ICC Term Version, August 2011</w:t>
            </w:r>
          </w:p>
        </w:tc>
        <w:tc>
          <w:tcPr>
            <w:tcW w:w="1759" w:type="dxa"/>
            <w:shd w:val="clear" w:color="auto" w:fill="auto"/>
          </w:tcPr>
          <w:p w:rsidR="00B51877" w:rsidRPr="005B3108" w:rsidRDefault="00B51877" w:rsidP="00DA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to be £2.8m over four years</w:t>
            </w:r>
            <w:r w:rsidR="006B68F0">
              <w:rPr>
                <w:sz w:val="22"/>
                <w:szCs w:val="22"/>
              </w:rPr>
              <w:t>, £844k in 2014-15</w:t>
            </w:r>
          </w:p>
        </w:tc>
        <w:tc>
          <w:tcPr>
            <w:tcW w:w="1751" w:type="dxa"/>
            <w:shd w:val="clear" w:color="auto" w:fill="auto"/>
          </w:tcPr>
          <w:p w:rsidR="00B51877" w:rsidRPr="005B3108" w:rsidRDefault="00B51877" w:rsidP="00DA781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Danaher &amp; Walsh (Civil Engineering Ltd)</w:t>
            </w:r>
          </w:p>
        </w:tc>
        <w:tc>
          <w:tcPr>
            <w:tcW w:w="3413" w:type="dxa"/>
            <w:shd w:val="clear" w:color="auto" w:fill="auto"/>
          </w:tcPr>
          <w:p w:rsidR="00B51877" w:rsidRPr="005B3108" w:rsidRDefault="00A50777" w:rsidP="006B6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Covers </w:t>
            </w:r>
            <w:r w:rsidR="00B51877">
              <w:rPr>
                <w:sz w:val="22"/>
                <w:szCs w:val="22"/>
              </w:rPr>
              <w:t>bridges</w:t>
            </w:r>
            <w:r>
              <w:rPr>
                <w:sz w:val="22"/>
                <w:szCs w:val="22"/>
              </w:rPr>
              <w:t>, subways, retaining walls, gantries, culverts, etc</w:t>
            </w:r>
            <w:r w:rsidR="00B51877">
              <w:rPr>
                <w:sz w:val="22"/>
                <w:szCs w:val="22"/>
              </w:rPr>
              <w:t>.</w:t>
            </w:r>
          </w:p>
        </w:tc>
      </w:tr>
      <w:tr w:rsidR="000303B1" w:rsidRPr="005B3108" w:rsidTr="00A50777">
        <w:trPr>
          <w:cantSplit/>
        </w:trPr>
        <w:tc>
          <w:tcPr>
            <w:tcW w:w="3355" w:type="dxa"/>
            <w:shd w:val="clear" w:color="auto" w:fill="auto"/>
          </w:tcPr>
          <w:p w:rsidR="000303B1" w:rsidRPr="005B3108" w:rsidRDefault="000303B1" w:rsidP="00B46ECA">
            <w:pPr>
              <w:rPr>
                <w:sz w:val="22"/>
                <w:szCs w:val="22"/>
              </w:rPr>
            </w:pPr>
            <w:proofErr w:type="spellStart"/>
            <w:r w:rsidRPr="005B3108">
              <w:rPr>
                <w:sz w:val="22"/>
                <w:szCs w:val="22"/>
              </w:rPr>
              <w:t>Overband</w:t>
            </w:r>
            <w:proofErr w:type="spellEnd"/>
            <w:r w:rsidRPr="005B3108">
              <w:rPr>
                <w:sz w:val="22"/>
                <w:szCs w:val="22"/>
              </w:rPr>
              <w:t xml:space="preserve"> sealing for cracks and joints in carriageways</w:t>
            </w:r>
          </w:p>
        </w:tc>
        <w:tc>
          <w:tcPr>
            <w:tcW w:w="1440" w:type="dxa"/>
            <w:shd w:val="clear" w:color="auto" w:fill="auto"/>
          </w:tcPr>
          <w:p w:rsidR="000303B1" w:rsidRPr="005B3108" w:rsidRDefault="000303B1" w:rsidP="00DA7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303B1" w:rsidRPr="005B3108" w:rsidRDefault="000303B1" w:rsidP="00DA7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0303B1" w:rsidRPr="005B3108" w:rsidRDefault="000303B1" w:rsidP="00DA7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:rsidR="000303B1" w:rsidRPr="005B3108" w:rsidRDefault="000303B1" w:rsidP="00DA7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0303B1" w:rsidRPr="005B3108" w:rsidRDefault="000303B1" w:rsidP="007746EF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303B1" w:rsidRPr="005B3108" w:rsidRDefault="000303B1" w:rsidP="00DA7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0303B1" w:rsidRPr="005B3108" w:rsidRDefault="000303B1" w:rsidP="00030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£35k</w:t>
            </w:r>
          </w:p>
        </w:tc>
        <w:tc>
          <w:tcPr>
            <w:tcW w:w="1751" w:type="dxa"/>
            <w:shd w:val="clear" w:color="auto" w:fill="auto"/>
          </w:tcPr>
          <w:p w:rsidR="000303B1" w:rsidRPr="005B3108" w:rsidRDefault="000303B1" w:rsidP="00E84B45">
            <w:pPr>
              <w:jc w:val="center"/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Highway Maintenance Specialists Ltd</w:t>
            </w:r>
          </w:p>
        </w:tc>
        <w:tc>
          <w:tcPr>
            <w:tcW w:w="3413" w:type="dxa"/>
            <w:shd w:val="clear" w:color="auto" w:fill="auto"/>
          </w:tcPr>
          <w:p w:rsidR="000303B1" w:rsidRPr="005B3108" w:rsidRDefault="000303B1" w:rsidP="00030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Ordered under Schedule F of Term Maintenance Contract (above)</w:t>
            </w:r>
          </w:p>
        </w:tc>
      </w:tr>
      <w:tr w:rsidR="000303B1" w:rsidRPr="005B3108" w:rsidTr="00A50777">
        <w:trPr>
          <w:cantSplit/>
        </w:trPr>
        <w:tc>
          <w:tcPr>
            <w:tcW w:w="3355" w:type="dxa"/>
            <w:shd w:val="clear" w:color="auto" w:fill="auto"/>
          </w:tcPr>
          <w:p w:rsidR="000303B1" w:rsidRPr="005B3108" w:rsidRDefault="000303B1" w:rsidP="00B46ECA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lastRenderedPageBreak/>
              <w:t>Surface dressing of carriageways</w:t>
            </w:r>
          </w:p>
        </w:tc>
        <w:tc>
          <w:tcPr>
            <w:tcW w:w="1440" w:type="dxa"/>
            <w:shd w:val="clear" w:color="auto" w:fill="auto"/>
          </w:tcPr>
          <w:p w:rsidR="000303B1" w:rsidRPr="005B3108" w:rsidRDefault="000303B1" w:rsidP="00DA7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303B1" w:rsidRPr="005B3108" w:rsidRDefault="000303B1" w:rsidP="00DA7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0303B1" w:rsidRPr="005B3108" w:rsidRDefault="000303B1" w:rsidP="00DA7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:rsidR="000303B1" w:rsidRPr="005B3108" w:rsidRDefault="000303B1" w:rsidP="00DA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Shared service agreement with Leicestershire County Council</w:t>
            </w:r>
          </w:p>
        </w:tc>
        <w:tc>
          <w:tcPr>
            <w:tcW w:w="3690" w:type="dxa"/>
            <w:shd w:val="clear" w:color="auto" w:fill="auto"/>
          </w:tcPr>
          <w:p w:rsidR="000303B1" w:rsidRPr="005B3108" w:rsidRDefault="000303B1" w:rsidP="007746EF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303B1" w:rsidRPr="005B3108" w:rsidRDefault="000303B1" w:rsidP="00DA7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0303B1" w:rsidRPr="005B3108" w:rsidRDefault="000303B1" w:rsidP="00DA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£200k</w:t>
            </w:r>
          </w:p>
        </w:tc>
        <w:tc>
          <w:tcPr>
            <w:tcW w:w="1751" w:type="dxa"/>
            <w:shd w:val="clear" w:color="auto" w:fill="auto"/>
          </w:tcPr>
          <w:p w:rsidR="000303B1" w:rsidRPr="005B3108" w:rsidRDefault="000303B1" w:rsidP="00DA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Leicestershire County Council Highways DLO</w:t>
            </w:r>
          </w:p>
        </w:tc>
        <w:tc>
          <w:tcPr>
            <w:tcW w:w="3413" w:type="dxa"/>
            <w:shd w:val="clear" w:color="auto" w:fill="auto"/>
          </w:tcPr>
          <w:p w:rsidR="000303B1" w:rsidRPr="005B3108" w:rsidRDefault="000303B1" w:rsidP="00152D12">
            <w:pPr>
              <w:rPr>
                <w:sz w:val="22"/>
                <w:szCs w:val="22"/>
              </w:rPr>
            </w:pPr>
          </w:p>
        </w:tc>
      </w:tr>
      <w:tr w:rsidR="000303B1" w:rsidRPr="005B3108" w:rsidTr="00A50777">
        <w:trPr>
          <w:cantSplit/>
        </w:trPr>
        <w:tc>
          <w:tcPr>
            <w:tcW w:w="3355" w:type="dxa"/>
            <w:shd w:val="clear" w:color="auto" w:fill="auto"/>
          </w:tcPr>
          <w:p w:rsidR="000303B1" w:rsidRPr="005B3108" w:rsidRDefault="000303B1" w:rsidP="00B46ECA">
            <w:pPr>
              <w:rPr>
                <w:sz w:val="22"/>
                <w:szCs w:val="22"/>
              </w:rPr>
            </w:pPr>
            <w:r w:rsidRPr="005B3108">
              <w:rPr>
                <w:sz w:val="22"/>
                <w:szCs w:val="22"/>
              </w:rPr>
              <w:t>Slurry sealing of bituminous footways</w:t>
            </w:r>
          </w:p>
        </w:tc>
        <w:tc>
          <w:tcPr>
            <w:tcW w:w="1440" w:type="dxa"/>
            <w:shd w:val="clear" w:color="auto" w:fill="auto"/>
          </w:tcPr>
          <w:p w:rsidR="000303B1" w:rsidRPr="005B3108" w:rsidRDefault="000303B1" w:rsidP="00DA7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303B1" w:rsidRPr="005B3108" w:rsidRDefault="000303B1" w:rsidP="00DA7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0303B1" w:rsidRPr="005B3108" w:rsidRDefault="000303B1" w:rsidP="00DA7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:rsidR="000303B1" w:rsidRPr="005B3108" w:rsidRDefault="000303B1" w:rsidP="00DA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Ad-hoc tender as and when required</w:t>
            </w:r>
          </w:p>
        </w:tc>
        <w:tc>
          <w:tcPr>
            <w:tcW w:w="3690" w:type="dxa"/>
            <w:shd w:val="clear" w:color="auto" w:fill="auto"/>
          </w:tcPr>
          <w:p w:rsidR="000303B1" w:rsidRPr="005B3108" w:rsidRDefault="000303B1" w:rsidP="007746EF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303B1" w:rsidRPr="005B3108" w:rsidRDefault="000303B1" w:rsidP="00DA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used in 2014-15</w:t>
            </w:r>
          </w:p>
        </w:tc>
        <w:tc>
          <w:tcPr>
            <w:tcW w:w="1759" w:type="dxa"/>
            <w:shd w:val="clear" w:color="auto" w:fill="auto"/>
          </w:tcPr>
          <w:p w:rsidR="000303B1" w:rsidRPr="005B3108" w:rsidRDefault="000303B1" w:rsidP="00030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Usually £25k in alternate years</w:t>
            </w:r>
          </w:p>
        </w:tc>
        <w:tc>
          <w:tcPr>
            <w:tcW w:w="1751" w:type="dxa"/>
            <w:shd w:val="clear" w:color="auto" w:fill="auto"/>
          </w:tcPr>
          <w:p w:rsidR="000303B1" w:rsidRPr="005B3108" w:rsidRDefault="000303B1" w:rsidP="00DA7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</w:tcPr>
          <w:p w:rsidR="000303B1" w:rsidRPr="005B3108" w:rsidRDefault="000303B1" w:rsidP="00152D12">
            <w:pPr>
              <w:rPr>
                <w:sz w:val="22"/>
                <w:szCs w:val="22"/>
              </w:rPr>
            </w:pPr>
          </w:p>
        </w:tc>
      </w:tr>
    </w:tbl>
    <w:p w:rsidR="00243128" w:rsidRPr="005B3108" w:rsidRDefault="00243128" w:rsidP="00243128">
      <w:pPr>
        <w:rPr>
          <w:sz w:val="22"/>
          <w:szCs w:val="22"/>
        </w:rPr>
      </w:pPr>
    </w:p>
    <w:p w:rsidR="001B7023" w:rsidRDefault="00A50777" w:rsidP="00700E6F">
      <w:pPr>
        <w:spacing w:after="120"/>
        <w:rPr>
          <w:sz w:val="22"/>
          <w:szCs w:val="22"/>
        </w:rPr>
      </w:pPr>
      <w:r>
        <w:rPr>
          <w:sz w:val="22"/>
          <w:szCs w:val="22"/>
        </w:rPr>
        <w:t>The Public Lighting Contract covers the maintenance of all existing street lighting, floodlight</w:t>
      </w:r>
      <w:r w:rsidR="001B7023">
        <w:rPr>
          <w:sz w:val="22"/>
          <w:szCs w:val="22"/>
        </w:rPr>
        <w:t>s</w:t>
      </w:r>
      <w:r>
        <w:rPr>
          <w:sz w:val="22"/>
          <w:szCs w:val="22"/>
        </w:rPr>
        <w:t xml:space="preserve">, signs and bollards (both illuminated and not) and </w:t>
      </w:r>
      <w:r w:rsidR="00700E6F">
        <w:rPr>
          <w:sz w:val="22"/>
          <w:szCs w:val="22"/>
        </w:rPr>
        <w:t xml:space="preserve">other </w:t>
      </w:r>
      <w:r>
        <w:rPr>
          <w:sz w:val="22"/>
          <w:szCs w:val="22"/>
        </w:rPr>
        <w:t>street furniture such as pedestrian guard rails</w:t>
      </w:r>
      <w:r w:rsidR="00700E6F">
        <w:rPr>
          <w:sz w:val="22"/>
          <w:szCs w:val="22"/>
        </w:rPr>
        <w:t xml:space="preserve">, </w:t>
      </w:r>
      <w:r w:rsidR="00BA676B">
        <w:rPr>
          <w:sz w:val="22"/>
          <w:szCs w:val="22"/>
        </w:rPr>
        <w:t>plus</w:t>
      </w:r>
      <w:r>
        <w:rPr>
          <w:sz w:val="22"/>
          <w:szCs w:val="22"/>
        </w:rPr>
        <w:t xml:space="preserve"> the erection, maintenance and removal of all Festive Decorations in the City</w:t>
      </w:r>
      <w:r w:rsidR="00700E6F">
        <w:rPr>
          <w:sz w:val="22"/>
          <w:szCs w:val="22"/>
        </w:rPr>
        <w:t xml:space="preserve">. </w:t>
      </w:r>
    </w:p>
    <w:p w:rsidR="001B7023" w:rsidRDefault="00700E6F" w:rsidP="00700E6F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In addition the Contract includes the </w:t>
      </w:r>
      <w:r w:rsidR="00A50777">
        <w:rPr>
          <w:sz w:val="22"/>
          <w:szCs w:val="22"/>
        </w:rPr>
        <w:t>conversion of more than 33,500 orange street lights to</w:t>
      </w:r>
      <w:r w:rsidR="001B7023">
        <w:rPr>
          <w:sz w:val="22"/>
          <w:szCs w:val="22"/>
        </w:rPr>
        <w:t xml:space="preserve"> dimmable</w:t>
      </w:r>
      <w:r w:rsidR="00A50777">
        <w:rPr>
          <w:sz w:val="22"/>
          <w:szCs w:val="22"/>
        </w:rPr>
        <w:t xml:space="preserve"> white lights (mainly using LEDs) </w:t>
      </w:r>
      <w:r>
        <w:rPr>
          <w:sz w:val="22"/>
          <w:szCs w:val="22"/>
        </w:rPr>
        <w:t xml:space="preserve">in a three-year period </w:t>
      </w:r>
      <w:r w:rsidR="00A50777">
        <w:rPr>
          <w:sz w:val="22"/>
          <w:szCs w:val="22"/>
        </w:rPr>
        <w:t>within the first four years of the contract term.</w:t>
      </w:r>
      <w:r>
        <w:rPr>
          <w:sz w:val="22"/>
          <w:szCs w:val="22"/>
        </w:rPr>
        <w:t xml:space="preserve"> </w:t>
      </w:r>
      <w:r w:rsidR="001B7023">
        <w:rPr>
          <w:sz w:val="22"/>
          <w:szCs w:val="22"/>
        </w:rPr>
        <w:t xml:space="preserve">This exercise includes a wireless Central Management System that gives the Council remote control of their brightness and direct energy monitoring. </w:t>
      </w:r>
    </w:p>
    <w:p w:rsidR="00A50777" w:rsidRDefault="00700E6F" w:rsidP="00700E6F">
      <w:pPr>
        <w:spacing w:after="120"/>
        <w:rPr>
          <w:sz w:val="22"/>
          <w:szCs w:val="22"/>
        </w:rPr>
      </w:pPr>
      <w:r>
        <w:rPr>
          <w:sz w:val="22"/>
          <w:szCs w:val="22"/>
        </w:rPr>
        <w:t>As well as using less</w:t>
      </w:r>
      <w:r w:rsidR="001B7023">
        <w:rPr>
          <w:sz w:val="22"/>
          <w:szCs w:val="22"/>
        </w:rPr>
        <w:t xml:space="preserve"> than 40% of the </w:t>
      </w:r>
      <w:r>
        <w:rPr>
          <w:sz w:val="22"/>
          <w:szCs w:val="22"/>
        </w:rPr>
        <w:t>electricity tha</w:t>
      </w:r>
      <w:r w:rsidR="001B7023">
        <w:rPr>
          <w:sz w:val="22"/>
          <w:szCs w:val="22"/>
        </w:rPr>
        <w:t>t</w:t>
      </w:r>
      <w:r>
        <w:rPr>
          <w:sz w:val="22"/>
          <w:szCs w:val="22"/>
        </w:rPr>
        <w:t xml:space="preserve"> the former orange sodium-vapour fluorescent tubes</w:t>
      </w:r>
      <w:r w:rsidR="001B7023">
        <w:rPr>
          <w:sz w:val="22"/>
          <w:szCs w:val="22"/>
        </w:rPr>
        <w:t xml:space="preserve"> would consume</w:t>
      </w:r>
      <w:r>
        <w:rPr>
          <w:sz w:val="22"/>
          <w:szCs w:val="22"/>
        </w:rPr>
        <w:t xml:space="preserve">, the white lights are expected to last many years longer and </w:t>
      </w:r>
      <w:r w:rsidR="00433CED">
        <w:rPr>
          <w:sz w:val="22"/>
          <w:szCs w:val="22"/>
        </w:rPr>
        <w:t>need less maintenance. The</w:t>
      </w:r>
      <w:r w:rsidR="001B7023">
        <w:rPr>
          <w:sz w:val="22"/>
          <w:szCs w:val="22"/>
        </w:rPr>
        <w:t xml:space="preserve"> suppli</w:t>
      </w:r>
      <w:r w:rsidR="00433CED">
        <w:rPr>
          <w:sz w:val="22"/>
          <w:szCs w:val="22"/>
        </w:rPr>
        <w:t xml:space="preserve">er of the LED lights has guaranteed to replace any that fail within twenty years’ service. The white light conversions </w:t>
      </w:r>
      <w:r w:rsidR="001B7023">
        <w:rPr>
          <w:sz w:val="22"/>
          <w:szCs w:val="22"/>
        </w:rPr>
        <w:t xml:space="preserve">are budgeted at </w:t>
      </w:r>
      <w:r w:rsidR="00433CED">
        <w:rPr>
          <w:sz w:val="22"/>
          <w:szCs w:val="22"/>
        </w:rPr>
        <w:t xml:space="preserve">approximately £12 million. This aspect “front-loads” the cash-flow of the Contract and is why the present financial year’s value is so much greater than an eighth of the overall contract value. </w:t>
      </w:r>
    </w:p>
    <w:p w:rsidR="00BA676B" w:rsidRPr="005B3108" w:rsidRDefault="00BA676B" w:rsidP="00700E6F">
      <w:pPr>
        <w:spacing w:after="120"/>
        <w:rPr>
          <w:sz w:val="22"/>
          <w:szCs w:val="22"/>
        </w:rPr>
      </w:pPr>
    </w:p>
    <w:p w:rsidR="00A50777" w:rsidRDefault="00A50777" w:rsidP="00700E6F">
      <w:pPr>
        <w:spacing w:after="120"/>
        <w:ind w:left="4320"/>
        <w:rPr>
          <w:sz w:val="22"/>
          <w:szCs w:val="22"/>
        </w:rPr>
      </w:pPr>
    </w:p>
    <w:p w:rsidR="008275FC" w:rsidRPr="005B3108" w:rsidRDefault="00AF75AA" w:rsidP="00F142D7">
      <w:pPr>
        <w:rPr>
          <w:sz w:val="22"/>
          <w:szCs w:val="22"/>
        </w:rPr>
      </w:pPr>
      <w:r w:rsidRPr="005B3108">
        <w:rPr>
          <w:sz w:val="22"/>
          <w:szCs w:val="22"/>
        </w:rPr>
        <w:t>Abbreviations</w:t>
      </w:r>
      <w:r w:rsidR="001F4401" w:rsidRPr="005B3108">
        <w:rPr>
          <w:sz w:val="22"/>
          <w:szCs w:val="22"/>
        </w:rPr>
        <w:t xml:space="preserve"> and explanations</w:t>
      </w:r>
      <w:r w:rsidRPr="005B3108">
        <w:rPr>
          <w:sz w:val="22"/>
          <w:szCs w:val="22"/>
        </w:rPr>
        <w:t xml:space="preserve">: </w:t>
      </w:r>
      <w:r w:rsidR="008275FC" w:rsidRPr="005B3108">
        <w:rPr>
          <w:sz w:val="22"/>
          <w:szCs w:val="22"/>
        </w:rPr>
        <w:tab/>
      </w:r>
      <w:r w:rsidR="008275FC" w:rsidRPr="005B3108">
        <w:rPr>
          <w:sz w:val="22"/>
          <w:szCs w:val="22"/>
        </w:rPr>
        <w:tab/>
        <w:t>City Highways</w:t>
      </w:r>
      <w:r w:rsidR="008275FC" w:rsidRPr="005B3108">
        <w:rPr>
          <w:sz w:val="22"/>
          <w:szCs w:val="22"/>
        </w:rPr>
        <w:tab/>
      </w:r>
      <w:r w:rsidR="00A50777">
        <w:rPr>
          <w:sz w:val="22"/>
          <w:szCs w:val="22"/>
        </w:rPr>
        <w:tab/>
      </w:r>
      <w:r w:rsidR="008275FC" w:rsidRPr="005B3108">
        <w:rPr>
          <w:sz w:val="22"/>
          <w:szCs w:val="22"/>
        </w:rPr>
        <w:t>Leicester City Council’s Highways and Civil Engineering Direct Services Organisation</w:t>
      </w:r>
      <w:r w:rsidR="00003708">
        <w:rPr>
          <w:sz w:val="22"/>
          <w:szCs w:val="22"/>
        </w:rPr>
        <w:t xml:space="preserve"> (in-house service provider)</w:t>
      </w:r>
    </w:p>
    <w:p w:rsidR="004C39CF" w:rsidRPr="005B3108" w:rsidRDefault="001F4401" w:rsidP="00BA676B">
      <w:pPr>
        <w:ind w:left="6480" w:hanging="2160"/>
        <w:rPr>
          <w:sz w:val="22"/>
          <w:szCs w:val="22"/>
        </w:rPr>
      </w:pPr>
      <w:r w:rsidRPr="005B3108">
        <w:rPr>
          <w:sz w:val="22"/>
          <w:szCs w:val="22"/>
        </w:rPr>
        <w:t>HRA</w:t>
      </w:r>
      <w:r w:rsidR="00FA06DD" w:rsidRPr="005B3108">
        <w:rPr>
          <w:sz w:val="22"/>
          <w:szCs w:val="22"/>
        </w:rPr>
        <w:tab/>
        <w:t>Hot rolled asphalt (a durable bituminous surfacing material use</w:t>
      </w:r>
      <w:r w:rsidR="009732D6">
        <w:rPr>
          <w:sz w:val="22"/>
          <w:szCs w:val="22"/>
        </w:rPr>
        <w:t>d</w:t>
      </w:r>
      <w:r w:rsidR="00FA06DD" w:rsidRPr="005B3108">
        <w:rPr>
          <w:sz w:val="22"/>
          <w:szCs w:val="22"/>
        </w:rPr>
        <w:t xml:space="preserve"> on our busiest roads)</w:t>
      </w:r>
      <w:r w:rsidR="00BA676B">
        <w:rPr>
          <w:sz w:val="22"/>
          <w:szCs w:val="22"/>
        </w:rPr>
        <w:t xml:space="preserve">. Alternatives (covered under Schedule B) include asphalt concretes (formerly known as bituminous </w:t>
      </w:r>
      <w:proofErr w:type="spellStart"/>
      <w:r w:rsidR="00BA676B">
        <w:rPr>
          <w:sz w:val="22"/>
          <w:szCs w:val="22"/>
        </w:rPr>
        <w:t>macadams</w:t>
      </w:r>
      <w:proofErr w:type="spellEnd"/>
      <w:r w:rsidR="00BA676B">
        <w:rPr>
          <w:sz w:val="22"/>
          <w:szCs w:val="22"/>
        </w:rPr>
        <w:t xml:space="preserve"> in the UK), precast concrete </w:t>
      </w:r>
      <w:proofErr w:type="gramStart"/>
      <w:r w:rsidR="00BA676B">
        <w:rPr>
          <w:sz w:val="22"/>
          <w:szCs w:val="22"/>
        </w:rPr>
        <w:t>units</w:t>
      </w:r>
      <w:r w:rsidR="00A140AA">
        <w:rPr>
          <w:sz w:val="22"/>
          <w:szCs w:val="22"/>
        </w:rPr>
        <w:t>,</w:t>
      </w:r>
      <w:proofErr w:type="gramEnd"/>
      <w:r w:rsidR="00BA676B">
        <w:rPr>
          <w:sz w:val="22"/>
          <w:szCs w:val="22"/>
        </w:rPr>
        <w:t xml:space="preserve"> block paving</w:t>
      </w:r>
      <w:r w:rsidR="00A140AA">
        <w:rPr>
          <w:sz w:val="22"/>
          <w:szCs w:val="22"/>
        </w:rPr>
        <w:t xml:space="preserve"> and in-situ concrete. </w:t>
      </w:r>
    </w:p>
    <w:p w:rsidR="00152D12" w:rsidRPr="005B3108" w:rsidRDefault="00152D12" w:rsidP="00BA676B">
      <w:pPr>
        <w:ind w:left="6480" w:hanging="2160"/>
        <w:rPr>
          <w:sz w:val="22"/>
          <w:szCs w:val="22"/>
        </w:rPr>
      </w:pPr>
      <w:r w:rsidRPr="005B3108">
        <w:rPr>
          <w:sz w:val="22"/>
          <w:szCs w:val="22"/>
        </w:rPr>
        <w:t>ICE</w:t>
      </w:r>
      <w:r w:rsidRPr="005B3108">
        <w:rPr>
          <w:sz w:val="22"/>
          <w:szCs w:val="22"/>
        </w:rPr>
        <w:tab/>
        <w:t>The Institution of Civil Engineers/ICE Conditions of Contract, Term Version</w:t>
      </w:r>
      <w:r w:rsidR="00BA676B">
        <w:rPr>
          <w:sz w:val="22"/>
          <w:szCs w:val="22"/>
        </w:rPr>
        <w:t>, published September 2002</w:t>
      </w:r>
      <w:r w:rsidRPr="005B3108">
        <w:rPr>
          <w:sz w:val="22"/>
          <w:szCs w:val="22"/>
        </w:rPr>
        <w:t>. Superseded by ICC</w:t>
      </w:r>
    </w:p>
    <w:p w:rsidR="00152D12" w:rsidRPr="005B3108" w:rsidRDefault="00152D12" w:rsidP="00BA676B">
      <w:pPr>
        <w:ind w:left="6480" w:hanging="2160"/>
        <w:rPr>
          <w:sz w:val="22"/>
          <w:szCs w:val="22"/>
        </w:rPr>
      </w:pPr>
      <w:r w:rsidRPr="005B3108">
        <w:rPr>
          <w:sz w:val="22"/>
          <w:szCs w:val="22"/>
        </w:rPr>
        <w:t>ICC</w:t>
      </w:r>
      <w:r w:rsidRPr="005B3108">
        <w:rPr>
          <w:sz w:val="22"/>
          <w:szCs w:val="22"/>
        </w:rPr>
        <w:tab/>
        <w:t xml:space="preserve">The Infrastructure Conditions of Contract, Term Version, </w:t>
      </w:r>
      <w:r w:rsidR="00BA676B">
        <w:rPr>
          <w:sz w:val="22"/>
          <w:szCs w:val="22"/>
        </w:rPr>
        <w:t xml:space="preserve">published </w:t>
      </w:r>
      <w:r w:rsidRPr="005B3108">
        <w:rPr>
          <w:sz w:val="22"/>
          <w:szCs w:val="22"/>
        </w:rPr>
        <w:t xml:space="preserve">August 2011. </w:t>
      </w:r>
    </w:p>
    <w:p w:rsidR="00754671" w:rsidRPr="005B3108" w:rsidRDefault="00754671" w:rsidP="00BA676B">
      <w:pPr>
        <w:ind w:left="6480" w:hanging="2160"/>
        <w:rPr>
          <w:sz w:val="22"/>
          <w:szCs w:val="22"/>
        </w:rPr>
      </w:pPr>
      <w:r w:rsidRPr="005B3108">
        <w:rPr>
          <w:sz w:val="22"/>
          <w:szCs w:val="22"/>
        </w:rPr>
        <w:t>MMHW</w:t>
      </w:r>
      <w:r w:rsidRPr="005B3108">
        <w:rPr>
          <w:sz w:val="22"/>
          <w:szCs w:val="22"/>
        </w:rPr>
        <w:tab/>
        <w:t>Method of Measurement for Highway Works</w:t>
      </w:r>
      <w:r w:rsidR="00152D12" w:rsidRPr="005B3108">
        <w:rPr>
          <w:sz w:val="22"/>
          <w:szCs w:val="22"/>
        </w:rPr>
        <w:t xml:space="preserve"> </w:t>
      </w:r>
      <w:r w:rsidR="00BA676B">
        <w:rPr>
          <w:sz w:val="22"/>
          <w:szCs w:val="22"/>
        </w:rPr>
        <w:t>(Department for Transport)</w:t>
      </w:r>
    </w:p>
    <w:p w:rsidR="00A50777" w:rsidRDefault="00A50777" w:rsidP="00BA676B">
      <w:pPr>
        <w:ind w:left="6480" w:hanging="2160"/>
        <w:rPr>
          <w:sz w:val="22"/>
          <w:szCs w:val="22"/>
        </w:rPr>
      </w:pPr>
      <w:r>
        <w:rPr>
          <w:sz w:val="22"/>
          <w:szCs w:val="22"/>
        </w:rPr>
        <w:t>ECC3</w:t>
      </w:r>
      <w:r>
        <w:rPr>
          <w:sz w:val="22"/>
          <w:szCs w:val="22"/>
        </w:rPr>
        <w:tab/>
        <w:t>Engineering &amp; Construction Contract, 3</w:t>
      </w:r>
      <w:r w:rsidRPr="00A5077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Edition (part of NEC3)</w:t>
      </w:r>
    </w:p>
    <w:p w:rsidR="009732D6" w:rsidRDefault="001F4401" w:rsidP="00BA676B">
      <w:pPr>
        <w:ind w:left="6480" w:hanging="2160"/>
        <w:rPr>
          <w:sz w:val="22"/>
          <w:szCs w:val="22"/>
        </w:rPr>
      </w:pPr>
      <w:r w:rsidRPr="005B3108">
        <w:rPr>
          <w:sz w:val="22"/>
          <w:szCs w:val="22"/>
        </w:rPr>
        <w:t>NEC</w:t>
      </w:r>
      <w:r w:rsidR="00A72665" w:rsidRPr="005B3108">
        <w:rPr>
          <w:sz w:val="22"/>
          <w:szCs w:val="22"/>
        </w:rPr>
        <w:tab/>
        <w:t>New Engineering Contract (</w:t>
      </w:r>
      <w:r w:rsidR="009C073B" w:rsidRPr="005B3108">
        <w:rPr>
          <w:sz w:val="22"/>
          <w:szCs w:val="22"/>
        </w:rPr>
        <w:t>suite)</w:t>
      </w:r>
      <w:r w:rsidR="00A72665" w:rsidRPr="005B3108">
        <w:rPr>
          <w:sz w:val="22"/>
          <w:szCs w:val="22"/>
        </w:rPr>
        <w:t xml:space="preserve">. NEC3 indicates </w:t>
      </w:r>
      <w:r w:rsidR="009C073B" w:rsidRPr="005B3108">
        <w:rPr>
          <w:sz w:val="22"/>
          <w:szCs w:val="22"/>
        </w:rPr>
        <w:t>3</w:t>
      </w:r>
      <w:r w:rsidR="009C073B" w:rsidRPr="005B3108">
        <w:rPr>
          <w:sz w:val="22"/>
          <w:szCs w:val="22"/>
          <w:vertAlign w:val="superscript"/>
        </w:rPr>
        <w:t>rd</w:t>
      </w:r>
      <w:r w:rsidR="009C073B" w:rsidRPr="005B3108">
        <w:rPr>
          <w:sz w:val="22"/>
          <w:szCs w:val="22"/>
        </w:rPr>
        <w:t xml:space="preserve"> Edition</w:t>
      </w:r>
    </w:p>
    <w:p w:rsidR="009732D6" w:rsidRDefault="009732D6" w:rsidP="00BA676B">
      <w:pPr>
        <w:ind w:left="6480" w:hanging="2160"/>
        <w:rPr>
          <w:sz w:val="22"/>
          <w:szCs w:val="22"/>
        </w:rPr>
      </w:pPr>
    </w:p>
    <w:p w:rsidR="00152D12" w:rsidRPr="005B3108" w:rsidRDefault="00152D12" w:rsidP="003A2C00">
      <w:pPr>
        <w:ind w:left="4320"/>
        <w:rPr>
          <w:sz w:val="22"/>
          <w:szCs w:val="22"/>
        </w:rPr>
      </w:pPr>
    </w:p>
    <w:sectPr w:rsidR="00152D12" w:rsidRPr="005B3108" w:rsidSect="00243128">
      <w:headerReference w:type="even" r:id="rId8"/>
      <w:headerReference w:type="default" r:id="rId9"/>
      <w:footerReference w:type="default" r:id="rId10"/>
      <w:headerReference w:type="first" r:id="rId11"/>
      <w:pgSz w:w="23818" w:h="16834" w:orient="landscape" w:code="8"/>
      <w:pgMar w:top="1080" w:right="1080" w:bottom="1080" w:left="1080" w:header="432" w:footer="43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5" w:rsidRDefault="00DA7815">
      <w:r>
        <w:separator/>
      </w:r>
    </w:p>
  </w:endnote>
  <w:endnote w:type="continuationSeparator" w:id="0">
    <w:p w:rsidR="00DA7815" w:rsidRDefault="00DA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61" w:rsidRPr="00C84961" w:rsidRDefault="00C84961">
    <w:pPr>
      <w:pStyle w:val="Footer"/>
      <w:rPr>
        <w:sz w:val="16"/>
        <w:szCs w:val="16"/>
      </w:rPr>
    </w:pPr>
  </w:p>
  <w:p w:rsidR="00C84961" w:rsidRPr="00C84961" w:rsidRDefault="00A140AA" w:rsidP="00A140A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Caps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Foia Enquiry 6427 Highway Maintenance Contracts 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C84961" w:rsidRPr="00C84961">
      <w:rPr>
        <w:sz w:val="16"/>
        <w:szCs w:val="16"/>
      </w:rPr>
      <w:t xml:space="preserve">Revised: </w:t>
    </w:r>
    <w:r w:rsidR="00C84961" w:rsidRPr="00C84961">
      <w:rPr>
        <w:sz w:val="16"/>
        <w:szCs w:val="16"/>
      </w:rPr>
      <w:fldChar w:fldCharType="begin"/>
    </w:r>
    <w:r w:rsidR="00C84961" w:rsidRPr="00C84961">
      <w:rPr>
        <w:sz w:val="16"/>
        <w:szCs w:val="16"/>
      </w:rPr>
      <w:instrText xml:space="preserve"> DATE \@ "dd/MM/yyyy" </w:instrText>
    </w:r>
    <w:r w:rsidR="00C84961" w:rsidRPr="00C84961">
      <w:rPr>
        <w:sz w:val="16"/>
        <w:szCs w:val="16"/>
      </w:rPr>
      <w:fldChar w:fldCharType="separate"/>
    </w:r>
    <w:r w:rsidR="00835626">
      <w:rPr>
        <w:noProof/>
        <w:sz w:val="16"/>
        <w:szCs w:val="16"/>
      </w:rPr>
      <w:t>01/09/2014</w:t>
    </w:r>
    <w:r w:rsidR="00C84961" w:rsidRPr="00C84961">
      <w:rPr>
        <w:sz w:val="16"/>
        <w:szCs w:val="16"/>
      </w:rPr>
      <w:fldChar w:fldCharType="end"/>
    </w:r>
  </w:p>
  <w:p w:rsidR="00C84961" w:rsidRPr="00C84961" w:rsidRDefault="00C84961" w:rsidP="00C84961">
    <w:pPr>
      <w:pStyle w:val="Footer"/>
      <w:jc w:val="center"/>
      <w:rPr>
        <w:sz w:val="16"/>
        <w:szCs w:val="16"/>
      </w:rPr>
    </w:pPr>
    <w:r w:rsidRPr="00C84961">
      <w:rPr>
        <w:rStyle w:val="PageNumber"/>
        <w:sz w:val="16"/>
        <w:szCs w:val="16"/>
      </w:rPr>
      <w:fldChar w:fldCharType="begin"/>
    </w:r>
    <w:r w:rsidRPr="00C84961">
      <w:rPr>
        <w:rStyle w:val="PageNumber"/>
        <w:sz w:val="16"/>
        <w:szCs w:val="16"/>
      </w:rPr>
      <w:instrText xml:space="preserve"> PAGE </w:instrText>
    </w:r>
    <w:r w:rsidRPr="00C84961">
      <w:rPr>
        <w:rStyle w:val="PageNumber"/>
        <w:sz w:val="16"/>
        <w:szCs w:val="16"/>
      </w:rPr>
      <w:fldChar w:fldCharType="separate"/>
    </w:r>
    <w:r w:rsidR="00835626">
      <w:rPr>
        <w:rStyle w:val="PageNumber"/>
        <w:noProof/>
        <w:sz w:val="16"/>
        <w:szCs w:val="16"/>
      </w:rPr>
      <w:t>1</w:t>
    </w:r>
    <w:r w:rsidRPr="00C8496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5" w:rsidRDefault="00DA7815">
      <w:r>
        <w:separator/>
      </w:r>
    </w:p>
  </w:footnote>
  <w:footnote w:type="continuationSeparator" w:id="0">
    <w:p w:rsidR="00DA7815" w:rsidRDefault="00DA7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CA" w:rsidRDefault="00774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CA" w:rsidRDefault="00774A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CA" w:rsidRDefault="00774A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28"/>
    <w:rsid w:val="00003708"/>
    <w:rsid w:val="00006FA0"/>
    <w:rsid w:val="000303B1"/>
    <w:rsid w:val="000776BD"/>
    <w:rsid w:val="000A32CD"/>
    <w:rsid w:val="000F11DF"/>
    <w:rsid w:val="001263A6"/>
    <w:rsid w:val="00152D12"/>
    <w:rsid w:val="001B7023"/>
    <w:rsid w:val="001F4401"/>
    <w:rsid w:val="001F6064"/>
    <w:rsid w:val="001F6438"/>
    <w:rsid w:val="00201790"/>
    <w:rsid w:val="00210C60"/>
    <w:rsid w:val="00224517"/>
    <w:rsid w:val="00243128"/>
    <w:rsid w:val="00257EB2"/>
    <w:rsid w:val="002A2360"/>
    <w:rsid w:val="002D1E80"/>
    <w:rsid w:val="0034234E"/>
    <w:rsid w:val="003566A0"/>
    <w:rsid w:val="00376681"/>
    <w:rsid w:val="00381F9B"/>
    <w:rsid w:val="003A2C00"/>
    <w:rsid w:val="003B645D"/>
    <w:rsid w:val="00433CED"/>
    <w:rsid w:val="0049443A"/>
    <w:rsid w:val="004C39CF"/>
    <w:rsid w:val="00544B2C"/>
    <w:rsid w:val="00546D4C"/>
    <w:rsid w:val="005B3108"/>
    <w:rsid w:val="006125D1"/>
    <w:rsid w:val="006B68F0"/>
    <w:rsid w:val="00700E6F"/>
    <w:rsid w:val="00706D4E"/>
    <w:rsid w:val="00754671"/>
    <w:rsid w:val="007746EF"/>
    <w:rsid w:val="00774ACA"/>
    <w:rsid w:val="0077501C"/>
    <w:rsid w:val="00790C60"/>
    <w:rsid w:val="007A3A27"/>
    <w:rsid w:val="007B0377"/>
    <w:rsid w:val="007B53D7"/>
    <w:rsid w:val="007E4181"/>
    <w:rsid w:val="0082714F"/>
    <w:rsid w:val="008275FC"/>
    <w:rsid w:val="00835626"/>
    <w:rsid w:val="00861913"/>
    <w:rsid w:val="00871209"/>
    <w:rsid w:val="008C0DFF"/>
    <w:rsid w:val="00933075"/>
    <w:rsid w:val="00934D75"/>
    <w:rsid w:val="0094541B"/>
    <w:rsid w:val="00956513"/>
    <w:rsid w:val="009732D6"/>
    <w:rsid w:val="009A0797"/>
    <w:rsid w:val="009C073B"/>
    <w:rsid w:val="009E68AC"/>
    <w:rsid w:val="00A128E7"/>
    <w:rsid w:val="00A140AA"/>
    <w:rsid w:val="00A50777"/>
    <w:rsid w:val="00A65622"/>
    <w:rsid w:val="00A72665"/>
    <w:rsid w:val="00A93A71"/>
    <w:rsid w:val="00AD1386"/>
    <w:rsid w:val="00AD5DCB"/>
    <w:rsid w:val="00AF5219"/>
    <w:rsid w:val="00AF75AA"/>
    <w:rsid w:val="00B46ECA"/>
    <w:rsid w:val="00B51877"/>
    <w:rsid w:val="00B676C3"/>
    <w:rsid w:val="00B856E9"/>
    <w:rsid w:val="00B97D3A"/>
    <w:rsid w:val="00BA676B"/>
    <w:rsid w:val="00BC1A05"/>
    <w:rsid w:val="00BD5AFE"/>
    <w:rsid w:val="00C167FF"/>
    <w:rsid w:val="00C33D82"/>
    <w:rsid w:val="00C522EA"/>
    <w:rsid w:val="00C84961"/>
    <w:rsid w:val="00CE0EAD"/>
    <w:rsid w:val="00CF6942"/>
    <w:rsid w:val="00D413AA"/>
    <w:rsid w:val="00DA7815"/>
    <w:rsid w:val="00DB1394"/>
    <w:rsid w:val="00DF6888"/>
    <w:rsid w:val="00E14419"/>
    <w:rsid w:val="00E52B02"/>
    <w:rsid w:val="00EB3573"/>
    <w:rsid w:val="00EC0B32"/>
    <w:rsid w:val="00EC478F"/>
    <w:rsid w:val="00F142D7"/>
    <w:rsid w:val="00F43C0C"/>
    <w:rsid w:val="00F61104"/>
    <w:rsid w:val="00F6426A"/>
    <w:rsid w:val="00F74D9B"/>
    <w:rsid w:val="00F80C57"/>
    <w:rsid w:val="00FA06DD"/>
    <w:rsid w:val="00FB125B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68AC"/>
    <w:rPr>
      <w:color w:val="0000FF"/>
      <w:u w:val="single"/>
    </w:rPr>
  </w:style>
  <w:style w:type="character" w:styleId="FollowedHyperlink">
    <w:name w:val="FollowedHyperlink"/>
    <w:rsid w:val="00AF75AA"/>
    <w:rPr>
      <w:color w:val="800080"/>
      <w:u w:val="single"/>
    </w:rPr>
  </w:style>
  <w:style w:type="paragraph" w:styleId="Header">
    <w:name w:val="header"/>
    <w:basedOn w:val="Normal"/>
    <w:rsid w:val="00C849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49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4961"/>
  </w:style>
  <w:style w:type="paragraph" w:styleId="BalloonText">
    <w:name w:val="Balloon Text"/>
    <w:basedOn w:val="Normal"/>
    <w:link w:val="BalloonTextChar"/>
    <w:rsid w:val="000A3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3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68AC"/>
    <w:rPr>
      <w:color w:val="0000FF"/>
      <w:u w:val="single"/>
    </w:rPr>
  </w:style>
  <w:style w:type="character" w:styleId="FollowedHyperlink">
    <w:name w:val="FollowedHyperlink"/>
    <w:rsid w:val="00AF75AA"/>
    <w:rPr>
      <w:color w:val="800080"/>
      <w:u w:val="single"/>
    </w:rPr>
  </w:style>
  <w:style w:type="paragraph" w:styleId="Header">
    <w:name w:val="header"/>
    <w:basedOn w:val="Normal"/>
    <w:rsid w:val="00C849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49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4961"/>
  </w:style>
  <w:style w:type="paragraph" w:styleId="BalloonText">
    <w:name w:val="Balloon Text"/>
    <w:basedOn w:val="Normal"/>
    <w:link w:val="BalloonTextChar"/>
    <w:rsid w:val="000A3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3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AF49-5354-4B0A-AE36-2EDB81B8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of Information Act 2000:</vt:lpstr>
    </vt:vector>
  </TitlesOfParts>
  <Company>Leicester City Council</Company>
  <LinksUpToDate>false</LinksUpToDate>
  <CharactersWithSpaces>7100</CharactersWithSpaces>
  <SharedDoc>false</SharedDoc>
  <HLinks>
    <vt:vector size="6" baseType="variant">
      <vt:variant>
        <vt:i4>1507380</vt:i4>
      </vt:variant>
      <vt:variant>
        <vt:i4>0</vt:i4>
      </vt:variant>
      <vt:variant>
        <vt:i4>0</vt:i4>
      </vt:variant>
      <vt:variant>
        <vt:i4>5</vt:i4>
      </vt:variant>
      <vt:variant>
        <vt:lpwstr>mailto:Highways.Contracts@Leicester.gov.uk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Act 2000:</dc:title>
  <dc:creator>Regeneration and Culture Department</dc:creator>
  <cp:lastModifiedBy>Helen Bowler</cp:lastModifiedBy>
  <cp:revision>2</cp:revision>
  <dcterms:created xsi:type="dcterms:W3CDTF">2014-09-01T11:54:00Z</dcterms:created>
  <dcterms:modified xsi:type="dcterms:W3CDTF">2014-09-01T11:54:00Z</dcterms:modified>
</cp:coreProperties>
</file>