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0" w:rsidRDefault="00D52E41">
      <w:bookmarkStart w:id="0" w:name="_GoBack"/>
      <w:bookmarkEnd w:id="0"/>
      <w:r>
        <w:t>FOI Request-</w:t>
      </w:r>
      <w:proofErr w:type="spellStart"/>
      <w:r>
        <w:t>Drugscope</w:t>
      </w:r>
      <w:proofErr w:type="spellEnd"/>
      <w:r>
        <w:t xml:space="preserve">  </w:t>
      </w:r>
      <w:r w:rsidR="004238B2">
        <w:t xml:space="preserve"> </w:t>
      </w:r>
      <w:r>
        <w:t>March 2015</w:t>
      </w:r>
    </w:p>
    <w:p w:rsidR="00D52E41" w:rsidRDefault="00F01E49">
      <w:r>
        <w:t>Funding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08"/>
        <w:gridCol w:w="754"/>
        <w:gridCol w:w="940"/>
        <w:gridCol w:w="993"/>
        <w:gridCol w:w="883"/>
        <w:gridCol w:w="992"/>
        <w:gridCol w:w="709"/>
        <w:gridCol w:w="851"/>
        <w:gridCol w:w="850"/>
        <w:gridCol w:w="992"/>
        <w:gridCol w:w="993"/>
        <w:gridCol w:w="567"/>
        <w:gridCol w:w="850"/>
        <w:gridCol w:w="709"/>
      </w:tblGrid>
      <w:tr w:rsidR="00DD1B67" w:rsidTr="00760CD0">
        <w:tc>
          <w:tcPr>
            <w:tcW w:w="675" w:type="dxa"/>
          </w:tcPr>
          <w:p w:rsidR="00DD1B67" w:rsidRDefault="00DD1B67"/>
        </w:tc>
        <w:tc>
          <w:tcPr>
            <w:tcW w:w="4929" w:type="dxa"/>
            <w:gridSpan w:val="5"/>
          </w:tcPr>
          <w:p w:rsidR="00DD1B67" w:rsidRDefault="00DD1B67">
            <w:r>
              <w:t>2013-14</w:t>
            </w:r>
          </w:p>
        </w:tc>
        <w:tc>
          <w:tcPr>
            <w:tcW w:w="4285" w:type="dxa"/>
            <w:gridSpan w:val="5"/>
          </w:tcPr>
          <w:p w:rsidR="00DD1B67" w:rsidRDefault="00DD1B67">
            <w:r>
              <w:t>2014-15</w:t>
            </w:r>
          </w:p>
        </w:tc>
        <w:tc>
          <w:tcPr>
            <w:tcW w:w="4111" w:type="dxa"/>
            <w:gridSpan w:val="5"/>
          </w:tcPr>
          <w:p w:rsidR="00DD1B67" w:rsidRDefault="00DD1B67">
            <w:r>
              <w:t>2015-16</w:t>
            </w:r>
          </w:p>
        </w:tc>
      </w:tr>
      <w:tr w:rsidR="00FC0B9F" w:rsidTr="00495BFE">
        <w:trPr>
          <w:cantSplit/>
          <w:trHeight w:val="1398"/>
        </w:trPr>
        <w:tc>
          <w:tcPr>
            <w:tcW w:w="675" w:type="dxa"/>
          </w:tcPr>
          <w:p w:rsidR="00FC0B9F" w:rsidRDefault="00FC0B9F"/>
        </w:tc>
        <w:tc>
          <w:tcPr>
            <w:tcW w:w="2996" w:type="dxa"/>
            <w:gridSpan w:val="3"/>
            <w:textDirection w:val="btLr"/>
          </w:tcPr>
          <w:p w:rsidR="00FC0B9F" w:rsidRPr="00077F9B" w:rsidRDefault="00FC0B9F" w:rsidP="00D52E41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Community Treatment/non-structured treatment</w:t>
            </w:r>
          </w:p>
        </w:tc>
        <w:tc>
          <w:tcPr>
            <w:tcW w:w="940" w:type="dxa"/>
            <w:textDirection w:val="btLr"/>
          </w:tcPr>
          <w:p w:rsidR="00FC0B9F" w:rsidRPr="00077F9B" w:rsidRDefault="00FC0B9F" w:rsidP="00D52E41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Inpatient</w:t>
            </w:r>
          </w:p>
        </w:tc>
        <w:tc>
          <w:tcPr>
            <w:tcW w:w="993" w:type="dxa"/>
            <w:textDirection w:val="btLr"/>
          </w:tcPr>
          <w:p w:rsidR="00FC0B9F" w:rsidRPr="00077F9B" w:rsidRDefault="00FC0B9F" w:rsidP="00D52E41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Res rehab</w:t>
            </w:r>
          </w:p>
        </w:tc>
        <w:tc>
          <w:tcPr>
            <w:tcW w:w="2584" w:type="dxa"/>
            <w:gridSpan w:val="3"/>
            <w:textDirection w:val="btLr"/>
          </w:tcPr>
          <w:p w:rsidR="00FC0B9F" w:rsidRPr="00077F9B" w:rsidRDefault="00FC0B9F" w:rsidP="006A1898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Community Treatment</w:t>
            </w:r>
          </w:p>
        </w:tc>
        <w:tc>
          <w:tcPr>
            <w:tcW w:w="851" w:type="dxa"/>
            <w:textDirection w:val="btLr"/>
          </w:tcPr>
          <w:p w:rsidR="00FC0B9F" w:rsidRPr="00077F9B" w:rsidRDefault="00FC0B9F" w:rsidP="006A1898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Inpatient</w:t>
            </w:r>
          </w:p>
        </w:tc>
        <w:tc>
          <w:tcPr>
            <w:tcW w:w="850" w:type="dxa"/>
            <w:textDirection w:val="btLr"/>
          </w:tcPr>
          <w:p w:rsidR="00FC0B9F" w:rsidRPr="00077F9B" w:rsidRDefault="00FC0B9F" w:rsidP="006A1898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Res rehab</w:t>
            </w:r>
          </w:p>
        </w:tc>
        <w:tc>
          <w:tcPr>
            <w:tcW w:w="2552" w:type="dxa"/>
            <w:gridSpan w:val="3"/>
            <w:textDirection w:val="btLr"/>
          </w:tcPr>
          <w:p w:rsidR="00FC0B9F" w:rsidRPr="00077F9B" w:rsidRDefault="00FC0B9F" w:rsidP="00F01E49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Community Treatment</w:t>
            </w:r>
          </w:p>
        </w:tc>
        <w:tc>
          <w:tcPr>
            <w:tcW w:w="850" w:type="dxa"/>
            <w:textDirection w:val="btLr"/>
          </w:tcPr>
          <w:p w:rsidR="00FC0B9F" w:rsidRPr="00077F9B" w:rsidRDefault="00FC0B9F" w:rsidP="00F01E49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Inpatient</w:t>
            </w:r>
          </w:p>
        </w:tc>
        <w:tc>
          <w:tcPr>
            <w:tcW w:w="709" w:type="dxa"/>
            <w:textDirection w:val="btLr"/>
          </w:tcPr>
          <w:p w:rsidR="00FC0B9F" w:rsidRPr="00077F9B" w:rsidRDefault="00FC0B9F" w:rsidP="00F01E49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Res rehab</w:t>
            </w:r>
          </w:p>
        </w:tc>
      </w:tr>
      <w:tr w:rsidR="00A820F4" w:rsidTr="00495BFE">
        <w:trPr>
          <w:trHeight w:val="1074"/>
        </w:trPr>
        <w:tc>
          <w:tcPr>
            <w:tcW w:w="675" w:type="dxa"/>
          </w:tcPr>
          <w:p w:rsidR="00A820F4" w:rsidRDefault="00A820F4"/>
        </w:tc>
        <w:tc>
          <w:tcPr>
            <w:tcW w:w="1134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Drug/</w:t>
            </w:r>
            <w:proofErr w:type="spellStart"/>
            <w:r w:rsidRPr="00077F9B">
              <w:rPr>
                <w:b/>
                <w:sz w:val="20"/>
                <w:szCs w:val="20"/>
              </w:rPr>
              <w:t>Alc</w:t>
            </w:r>
            <w:proofErr w:type="spellEnd"/>
            <w:r w:rsidRPr="00077F9B">
              <w:rPr>
                <w:b/>
                <w:sz w:val="20"/>
                <w:szCs w:val="20"/>
              </w:rPr>
              <w:t xml:space="preserve"> together</w:t>
            </w:r>
          </w:p>
        </w:tc>
        <w:tc>
          <w:tcPr>
            <w:tcW w:w="1108" w:type="dxa"/>
          </w:tcPr>
          <w:p w:rsidR="00A820F4" w:rsidRPr="00077F9B" w:rsidRDefault="00077F9B" w:rsidP="00A82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Split 70.</w:t>
            </w:r>
            <w:r w:rsidR="00A820F4" w:rsidRPr="00077F9B">
              <w:rPr>
                <w:b/>
                <w:sz w:val="20"/>
                <w:szCs w:val="20"/>
              </w:rPr>
              <w:t>7%/</w:t>
            </w:r>
          </w:p>
          <w:p w:rsidR="00A820F4" w:rsidRPr="00077F9B" w:rsidRDefault="00A820F4" w:rsidP="00B25439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29.2%</w:t>
            </w:r>
          </w:p>
        </w:tc>
        <w:tc>
          <w:tcPr>
            <w:tcW w:w="754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PBR</w:t>
            </w:r>
          </w:p>
        </w:tc>
        <w:tc>
          <w:tcPr>
            <w:tcW w:w="940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992" w:type="dxa"/>
          </w:tcPr>
          <w:p w:rsidR="00077F9B" w:rsidRPr="00077F9B" w:rsidRDefault="00077F9B" w:rsidP="00077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Split 70.</w:t>
            </w:r>
            <w:r w:rsidRPr="00077F9B">
              <w:rPr>
                <w:b/>
                <w:sz w:val="20"/>
                <w:szCs w:val="20"/>
              </w:rPr>
              <w:t>7%/</w:t>
            </w:r>
          </w:p>
          <w:p w:rsidR="00A820F4" w:rsidRPr="00077F9B" w:rsidRDefault="00077F9B" w:rsidP="00077F9B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29.2%</w:t>
            </w:r>
          </w:p>
        </w:tc>
        <w:tc>
          <w:tcPr>
            <w:tcW w:w="709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PBR</w:t>
            </w:r>
          </w:p>
        </w:tc>
        <w:tc>
          <w:tcPr>
            <w:tcW w:w="851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993" w:type="dxa"/>
          </w:tcPr>
          <w:p w:rsidR="00077F9B" w:rsidRPr="00077F9B" w:rsidRDefault="00077F9B" w:rsidP="00077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Split 70.</w:t>
            </w:r>
            <w:r w:rsidRPr="00077F9B">
              <w:rPr>
                <w:b/>
                <w:sz w:val="20"/>
                <w:szCs w:val="20"/>
              </w:rPr>
              <w:t>7%/</w:t>
            </w:r>
          </w:p>
          <w:p w:rsidR="00A820F4" w:rsidRPr="00077F9B" w:rsidRDefault="00077F9B" w:rsidP="00077F9B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>29.2%</w:t>
            </w:r>
          </w:p>
        </w:tc>
        <w:tc>
          <w:tcPr>
            <w:tcW w:w="567" w:type="dxa"/>
          </w:tcPr>
          <w:p w:rsidR="00A820F4" w:rsidRPr="00077F9B" w:rsidRDefault="00A820F4">
            <w:pPr>
              <w:rPr>
                <w:b/>
                <w:sz w:val="20"/>
                <w:szCs w:val="20"/>
              </w:rPr>
            </w:pPr>
            <w:r w:rsidRPr="00077F9B">
              <w:rPr>
                <w:b/>
                <w:sz w:val="20"/>
                <w:szCs w:val="20"/>
              </w:rPr>
              <w:t xml:space="preserve">PBR </w:t>
            </w:r>
          </w:p>
        </w:tc>
        <w:tc>
          <w:tcPr>
            <w:tcW w:w="850" w:type="dxa"/>
          </w:tcPr>
          <w:p w:rsidR="00A820F4" w:rsidRDefault="00A820F4"/>
        </w:tc>
        <w:tc>
          <w:tcPr>
            <w:tcW w:w="709" w:type="dxa"/>
          </w:tcPr>
          <w:p w:rsidR="00A820F4" w:rsidRDefault="00A820F4"/>
        </w:tc>
      </w:tr>
      <w:tr w:rsidR="00077F9B" w:rsidTr="00495BFE">
        <w:trPr>
          <w:cantSplit/>
          <w:trHeight w:val="1134"/>
        </w:trPr>
        <w:tc>
          <w:tcPr>
            <w:tcW w:w="675" w:type="dxa"/>
            <w:textDirection w:val="btLr"/>
          </w:tcPr>
          <w:p w:rsidR="00077F9B" w:rsidRPr="00077F9B" w:rsidRDefault="00077F9B" w:rsidP="00A820F4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Alcohol</w:t>
            </w:r>
          </w:p>
        </w:tc>
        <w:tc>
          <w:tcPr>
            <w:tcW w:w="1134" w:type="dxa"/>
            <w:vMerge w:val="restart"/>
          </w:tcPr>
          <w:p w:rsidR="00077F9B" w:rsidRPr="00A820F4" w:rsidRDefault="00077F9B" w:rsidP="00CB562A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5,131,227</w:t>
            </w:r>
          </w:p>
        </w:tc>
        <w:tc>
          <w:tcPr>
            <w:tcW w:w="1108" w:type="dxa"/>
          </w:tcPr>
          <w:p w:rsidR="00077F9B" w:rsidRPr="00A820F4" w:rsidRDefault="00077F9B" w:rsidP="00A820F4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1,503,450</w:t>
            </w:r>
          </w:p>
        </w:tc>
        <w:tc>
          <w:tcPr>
            <w:tcW w:w="754" w:type="dxa"/>
            <w:vMerge w:val="restart"/>
          </w:tcPr>
          <w:p w:rsidR="00077F9B" w:rsidRPr="00A820F4" w:rsidRDefault="00CB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7F9B" w:rsidRPr="00A820F4">
              <w:rPr>
                <w:sz w:val="18"/>
                <w:szCs w:val="18"/>
              </w:rPr>
              <w:t>%</w:t>
            </w:r>
          </w:p>
        </w:tc>
        <w:tc>
          <w:tcPr>
            <w:tcW w:w="94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155,369</w:t>
            </w:r>
          </w:p>
        </w:tc>
        <w:tc>
          <w:tcPr>
            <w:tcW w:w="993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180,650</w:t>
            </w:r>
          </w:p>
        </w:tc>
        <w:tc>
          <w:tcPr>
            <w:tcW w:w="883" w:type="dxa"/>
            <w:vMerge w:val="restart"/>
          </w:tcPr>
          <w:p w:rsidR="00077F9B" w:rsidRPr="00A820F4" w:rsidRDefault="00077F9B" w:rsidP="00B25439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5,243,503</w:t>
            </w:r>
          </w:p>
        </w:tc>
        <w:tc>
          <w:tcPr>
            <w:tcW w:w="992" w:type="dxa"/>
          </w:tcPr>
          <w:p w:rsidR="00077F9B" w:rsidRPr="00077F9B" w:rsidRDefault="00077F9B" w:rsidP="00A820F4">
            <w:pPr>
              <w:rPr>
                <w:sz w:val="16"/>
                <w:szCs w:val="16"/>
              </w:rPr>
            </w:pPr>
            <w:r w:rsidRPr="00077F9B">
              <w:rPr>
                <w:sz w:val="16"/>
                <w:szCs w:val="16"/>
              </w:rPr>
              <w:t>1,536,347</w:t>
            </w:r>
          </w:p>
        </w:tc>
        <w:tc>
          <w:tcPr>
            <w:tcW w:w="709" w:type="dxa"/>
          </w:tcPr>
          <w:p w:rsidR="00077F9B" w:rsidRPr="00A820F4" w:rsidRDefault="00CB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77F9B" w:rsidRPr="00A820F4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155,369</w:t>
            </w:r>
          </w:p>
        </w:tc>
        <w:tc>
          <w:tcPr>
            <w:tcW w:w="850" w:type="dxa"/>
          </w:tcPr>
          <w:p w:rsidR="00077F9B" w:rsidRDefault="00760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70,922</w:t>
            </w:r>
          </w:p>
          <w:p w:rsidR="00C72B66" w:rsidRPr="00A820F4" w:rsidRDefault="00C7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(est)</w:t>
            </w:r>
          </w:p>
        </w:tc>
        <w:tc>
          <w:tcPr>
            <w:tcW w:w="992" w:type="dxa"/>
            <w:vMerge w:val="restart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5,237,571</w:t>
            </w:r>
          </w:p>
        </w:tc>
        <w:tc>
          <w:tcPr>
            <w:tcW w:w="993" w:type="dxa"/>
          </w:tcPr>
          <w:p w:rsidR="00077F9B" w:rsidRPr="00077F9B" w:rsidRDefault="00077F9B" w:rsidP="00A820F4">
            <w:pPr>
              <w:rPr>
                <w:sz w:val="16"/>
                <w:szCs w:val="16"/>
              </w:rPr>
            </w:pPr>
            <w:r w:rsidRPr="00077F9B">
              <w:rPr>
                <w:sz w:val="16"/>
                <w:szCs w:val="16"/>
              </w:rPr>
              <w:t>1,534,609</w:t>
            </w:r>
          </w:p>
        </w:tc>
        <w:tc>
          <w:tcPr>
            <w:tcW w:w="567" w:type="dxa"/>
          </w:tcPr>
          <w:p w:rsidR="00077F9B" w:rsidRPr="00A820F4" w:rsidRDefault="00CB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85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166,169</w:t>
            </w:r>
          </w:p>
        </w:tc>
        <w:tc>
          <w:tcPr>
            <w:tcW w:w="709" w:type="dxa"/>
          </w:tcPr>
          <w:p w:rsidR="00D64C0E" w:rsidRPr="00A820F4" w:rsidRDefault="00760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 purchased  on need </w:t>
            </w:r>
          </w:p>
        </w:tc>
      </w:tr>
      <w:tr w:rsidR="00077F9B" w:rsidTr="00495BFE">
        <w:trPr>
          <w:cantSplit/>
          <w:trHeight w:val="1134"/>
        </w:trPr>
        <w:tc>
          <w:tcPr>
            <w:tcW w:w="675" w:type="dxa"/>
            <w:textDirection w:val="btLr"/>
          </w:tcPr>
          <w:p w:rsidR="00077F9B" w:rsidRPr="00077F9B" w:rsidRDefault="00077F9B" w:rsidP="00A820F4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Drugs</w:t>
            </w:r>
          </w:p>
        </w:tc>
        <w:tc>
          <w:tcPr>
            <w:tcW w:w="1134" w:type="dxa"/>
            <w:vMerge/>
          </w:tcPr>
          <w:p w:rsidR="00077F9B" w:rsidRDefault="00077F9B"/>
        </w:tc>
        <w:tc>
          <w:tcPr>
            <w:tcW w:w="1108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3,627,777</w:t>
            </w:r>
          </w:p>
        </w:tc>
        <w:tc>
          <w:tcPr>
            <w:tcW w:w="754" w:type="dxa"/>
            <w:vMerge/>
          </w:tcPr>
          <w:p w:rsidR="00077F9B" w:rsidRPr="00A820F4" w:rsidRDefault="00077F9B" w:rsidP="00A820F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103,580</w:t>
            </w:r>
          </w:p>
        </w:tc>
        <w:tc>
          <w:tcPr>
            <w:tcW w:w="993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136,159</w:t>
            </w:r>
          </w:p>
        </w:tc>
        <w:tc>
          <w:tcPr>
            <w:tcW w:w="883" w:type="dxa"/>
            <w:vMerge/>
          </w:tcPr>
          <w:p w:rsidR="00077F9B" w:rsidRPr="00A820F4" w:rsidRDefault="00077F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7F9B" w:rsidRPr="00077F9B" w:rsidRDefault="00077F9B" w:rsidP="00077F9B">
            <w:pPr>
              <w:rPr>
                <w:sz w:val="16"/>
                <w:szCs w:val="16"/>
              </w:rPr>
            </w:pPr>
            <w:r w:rsidRPr="00077F9B">
              <w:rPr>
                <w:sz w:val="16"/>
                <w:szCs w:val="16"/>
              </w:rPr>
              <w:t>3,707,156</w:t>
            </w:r>
          </w:p>
        </w:tc>
        <w:tc>
          <w:tcPr>
            <w:tcW w:w="709" w:type="dxa"/>
          </w:tcPr>
          <w:p w:rsidR="00077F9B" w:rsidRPr="00A820F4" w:rsidRDefault="00077F9B" w:rsidP="00077F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103,580</w:t>
            </w:r>
          </w:p>
        </w:tc>
        <w:tc>
          <w:tcPr>
            <w:tcW w:w="850" w:type="dxa"/>
          </w:tcPr>
          <w:p w:rsidR="00077F9B" w:rsidRDefault="00760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95,673</w:t>
            </w:r>
          </w:p>
          <w:p w:rsidR="00C72B66" w:rsidRPr="00A820F4" w:rsidRDefault="00C72B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077F9B" w:rsidRPr="00A820F4" w:rsidRDefault="00077F9B" w:rsidP="00077F9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7F9B" w:rsidRPr="00077F9B" w:rsidRDefault="00077F9B">
            <w:pPr>
              <w:rPr>
                <w:sz w:val="16"/>
                <w:szCs w:val="16"/>
              </w:rPr>
            </w:pPr>
            <w:r w:rsidRPr="00077F9B">
              <w:rPr>
                <w:sz w:val="16"/>
                <w:szCs w:val="16"/>
              </w:rPr>
              <w:t>3,702,962</w:t>
            </w:r>
          </w:p>
        </w:tc>
        <w:tc>
          <w:tcPr>
            <w:tcW w:w="567" w:type="dxa"/>
          </w:tcPr>
          <w:p w:rsidR="00077F9B" w:rsidRPr="00A820F4" w:rsidRDefault="00077F9B" w:rsidP="00077F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110,780</w:t>
            </w:r>
          </w:p>
        </w:tc>
        <w:tc>
          <w:tcPr>
            <w:tcW w:w="709" w:type="dxa"/>
          </w:tcPr>
          <w:p w:rsidR="00077F9B" w:rsidRPr="00760CD0" w:rsidRDefault="00760CD0" w:rsidP="00D64C0E">
            <w:pPr>
              <w:rPr>
                <w:sz w:val="18"/>
                <w:szCs w:val="18"/>
              </w:rPr>
            </w:pPr>
            <w:r w:rsidRPr="00760CD0">
              <w:rPr>
                <w:sz w:val="18"/>
                <w:szCs w:val="18"/>
              </w:rPr>
              <w:t xml:space="preserve">Spot purchased dependant on need </w:t>
            </w:r>
          </w:p>
        </w:tc>
      </w:tr>
      <w:tr w:rsidR="00077F9B" w:rsidTr="00495BFE">
        <w:trPr>
          <w:cantSplit/>
          <w:trHeight w:val="1134"/>
        </w:trPr>
        <w:tc>
          <w:tcPr>
            <w:tcW w:w="675" w:type="dxa"/>
            <w:textDirection w:val="btLr"/>
          </w:tcPr>
          <w:p w:rsidR="00077F9B" w:rsidRPr="00077F9B" w:rsidRDefault="00077F9B" w:rsidP="00A820F4">
            <w:pPr>
              <w:ind w:left="113" w:right="113"/>
              <w:rPr>
                <w:b/>
              </w:rPr>
            </w:pPr>
            <w:r w:rsidRPr="00077F9B">
              <w:rPr>
                <w:b/>
              </w:rPr>
              <w:t>Young People</w:t>
            </w:r>
          </w:p>
        </w:tc>
        <w:tc>
          <w:tcPr>
            <w:tcW w:w="2242" w:type="dxa"/>
            <w:gridSpan w:val="2"/>
          </w:tcPr>
          <w:p w:rsidR="00077F9B" w:rsidRPr="00A820F4" w:rsidRDefault="00077F9B" w:rsidP="00A820F4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402,163</w:t>
            </w:r>
          </w:p>
        </w:tc>
        <w:tc>
          <w:tcPr>
            <w:tcW w:w="754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  <w:gridSpan w:val="2"/>
          </w:tcPr>
          <w:p w:rsidR="00077F9B" w:rsidRPr="00A820F4" w:rsidRDefault="00077F9B" w:rsidP="00A820F4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347,208</w:t>
            </w:r>
          </w:p>
        </w:tc>
        <w:tc>
          <w:tcPr>
            <w:tcW w:w="709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6%</w:t>
            </w:r>
          </w:p>
        </w:tc>
        <w:tc>
          <w:tcPr>
            <w:tcW w:w="851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</w:tcPr>
          <w:p w:rsidR="00077F9B" w:rsidRPr="00A820F4" w:rsidRDefault="00077F9B" w:rsidP="00A820F4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328,525</w:t>
            </w:r>
          </w:p>
        </w:tc>
        <w:tc>
          <w:tcPr>
            <w:tcW w:w="567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  <w:r w:rsidRPr="00A820F4">
              <w:rPr>
                <w:sz w:val="18"/>
                <w:szCs w:val="18"/>
              </w:rPr>
              <w:t>6%</w:t>
            </w:r>
          </w:p>
        </w:tc>
        <w:tc>
          <w:tcPr>
            <w:tcW w:w="850" w:type="dxa"/>
          </w:tcPr>
          <w:p w:rsidR="00077F9B" w:rsidRPr="00A820F4" w:rsidRDefault="00077F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7F9B" w:rsidRDefault="00077F9B"/>
        </w:tc>
      </w:tr>
    </w:tbl>
    <w:p w:rsidR="00D52E41" w:rsidRDefault="00D52E41"/>
    <w:p w:rsidR="00D52E41" w:rsidRDefault="00B25439">
      <w:r>
        <w:t>Please see above table in response to questions 1-3 &amp; 5 the above is aggregated spend across the entire system</w:t>
      </w:r>
      <w:r w:rsidR="00F204C3">
        <w:t>, with notional split across drug and alcohol spend based on current activity</w:t>
      </w:r>
      <w:r>
        <w:t xml:space="preserve">. The current system consists of three </w:t>
      </w:r>
      <w:r w:rsidR="00CA332A">
        <w:t xml:space="preserve">fully integrated substance misuse treatment </w:t>
      </w:r>
      <w:r>
        <w:t>contracts.</w:t>
      </w:r>
      <w:r w:rsidR="00D64C0E">
        <w:t xml:space="preserve"> </w:t>
      </w:r>
    </w:p>
    <w:p w:rsidR="00B25439" w:rsidRDefault="00B25439" w:rsidP="00B25439">
      <w:pPr>
        <w:pStyle w:val="ListParagraph"/>
        <w:numPr>
          <w:ilvl w:val="0"/>
          <w:numId w:val="1"/>
        </w:numPr>
      </w:pPr>
      <w:r>
        <w:lastRenderedPageBreak/>
        <w:t>Adult community treatment contract value £3,699,245pa contract expiry date 31</w:t>
      </w:r>
      <w:r w:rsidRPr="00B25439">
        <w:rPr>
          <w:vertAlign w:val="superscript"/>
        </w:rPr>
        <w:t>st</w:t>
      </w:r>
      <w:r>
        <w:t xml:space="preserve"> June 2016 </w:t>
      </w:r>
    </w:p>
    <w:p w:rsidR="00B25439" w:rsidRDefault="00B25439" w:rsidP="00B25439">
      <w:pPr>
        <w:pStyle w:val="ListParagraph"/>
        <w:numPr>
          <w:ilvl w:val="0"/>
          <w:numId w:val="1"/>
        </w:numPr>
      </w:pPr>
      <w:r>
        <w:t>Adult Criminal justice contract (sub regional &amp; incorporating HMP Leicester) Leicester City Public health contribution only</w:t>
      </w:r>
      <w:r w:rsidR="00CA332A">
        <w:t>,</w:t>
      </w:r>
      <w:r>
        <w:t xml:space="preserve"> value £1,544,258pa contract expiry date 31</w:t>
      </w:r>
      <w:r w:rsidRPr="00B25439">
        <w:rPr>
          <w:vertAlign w:val="superscript"/>
        </w:rPr>
        <w:t>st</w:t>
      </w:r>
      <w:r>
        <w:t xml:space="preserve"> June 2016 </w:t>
      </w:r>
    </w:p>
    <w:p w:rsidR="00B25439" w:rsidRDefault="00B25439" w:rsidP="00B25439">
      <w:pPr>
        <w:pStyle w:val="ListParagraph"/>
        <w:numPr>
          <w:ilvl w:val="0"/>
          <w:numId w:val="1"/>
        </w:numPr>
      </w:pPr>
      <w:r>
        <w:t>Young people substance misuse contract value £402,163pa contract expiry date 31</w:t>
      </w:r>
      <w:r w:rsidRPr="00B25439">
        <w:rPr>
          <w:vertAlign w:val="superscript"/>
        </w:rPr>
        <w:t>st</w:t>
      </w:r>
      <w:r>
        <w:t xml:space="preserve"> June 2016 </w:t>
      </w:r>
    </w:p>
    <w:p w:rsidR="00D64C0E" w:rsidRDefault="00D64C0E" w:rsidP="00D64C0E">
      <w:pPr>
        <w:pStyle w:val="ListParagraph"/>
      </w:pPr>
    </w:p>
    <w:p w:rsidR="00D64C0E" w:rsidRDefault="00D64C0E" w:rsidP="00D64C0E">
      <w:pPr>
        <w:pStyle w:val="ListParagraph"/>
      </w:pPr>
    </w:p>
    <w:p w:rsidR="00D64C0E" w:rsidRDefault="00D64C0E" w:rsidP="00D64C0E">
      <w:pPr>
        <w:pStyle w:val="ListParagraph"/>
      </w:pPr>
      <w:r>
        <w:t xml:space="preserve">Q6: </w:t>
      </w:r>
      <w:r w:rsidR="00495BFE">
        <w:t xml:space="preserve">Allocations are calculated </w:t>
      </w:r>
      <w:r>
        <w:t xml:space="preserve">from the funding available through the </w:t>
      </w:r>
      <w:r w:rsidR="00495BFE">
        <w:t>public Health grant and partner</w:t>
      </w:r>
      <w:r>
        <w:t xml:space="preserve"> contributions such as </w:t>
      </w:r>
      <w:r w:rsidR="00054DE9">
        <w:t xml:space="preserve">the </w:t>
      </w:r>
      <w:r>
        <w:t xml:space="preserve">Office of the Police and Crime </w:t>
      </w:r>
      <w:r w:rsidR="00054DE9">
        <w:t>C</w:t>
      </w:r>
      <w:r>
        <w:t>ommissioner</w:t>
      </w:r>
      <w:r w:rsidR="00495BFE">
        <w:t xml:space="preserve">, and based on projected activity. </w:t>
      </w:r>
      <w:r>
        <w:t xml:space="preserve"> all contract</w:t>
      </w:r>
      <w:r w:rsidR="00054DE9">
        <w:t xml:space="preserve">s were subject to an open tender process, final contract allocations were based on prices submitted through this process by providers. Tenders were awarded on a 60% quality 40% price basis.  </w:t>
      </w:r>
    </w:p>
    <w:sectPr w:rsidR="00D64C0E" w:rsidSect="00D52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F" w:rsidRDefault="002B565F" w:rsidP="002B565F">
      <w:pPr>
        <w:spacing w:after="0" w:line="240" w:lineRule="auto"/>
      </w:pPr>
      <w:r>
        <w:separator/>
      </w:r>
    </w:p>
  </w:endnote>
  <w:endnote w:type="continuationSeparator" w:id="0">
    <w:p w:rsidR="002B565F" w:rsidRDefault="002B565F" w:rsidP="002B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F" w:rsidRDefault="002B565F" w:rsidP="002B565F">
      <w:pPr>
        <w:spacing w:after="0" w:line="240" w:lineRule="auto"/>
      </w:pPr>
      <w:r>
        <w:separator/>
      </w:r>
    </w:p>
  </w:footnote>
  <w:footnote w:type="continuationSeparator" w:id="0">
    <w:p w:rsidR="002B565F" w:rsidRDefault="002B565F" w:rsidP="002B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E9D"/>
    <w:multiLevelType w:val="hybridMultilevel"/>
    <w:tmpl w:val="4D623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41"/>
    <w:rsid w:val="00054DE9"/>
    <w:rsid w:val="00077F9B"/>
    <w:rsid w:val="00146475"/>
    <w:rsid w:val="001536D7"/>
    <w:rsid w:val="002913CC"/>
    <w:rsid w:val="002B565F"/>
    <w:rsid w:val="00381BE7"/>
    <w:rsid w:val="003869F2"/>
    <w:rsid w:val="004238B2"/>
    <w:rsid w:val="00450A71"/>
    <w:rsid w:val="00495BFE"/>
    <w:rsid w:val="004F45BA"/>
    <w:rsid w:val="00581289"/>
    <w:rsid w:val="006A1898"/>
    <w:rsid w:val="00716B1B"/>
    <w:rsid w:val="00760CD0"/>
    <w:rsid w:val="00923EAA"/>
    <w:rsid w:val="0097241C"/>
    <w:rsid w:val="00A820F4"/>
    <w:rsid w:val="00AD0AD8"/>
    <w:rsid w:val="00AE328A"/>
    <w:rsid w:val="00B25439"/>
    <w:rsid w:val="00B54627"/>
    <w:rsid w:val="00C4030A"/>
    <w:rsid w:val="00C62FD2"/>
    <w:rsid w:val="00C72B66"/>
    <w:rsid w:val="00CA332A"/>
    <w:rsid w:val="00CB562A"/>
    <w:rsid w:val="00CD2C7E"/>
    <w:rsid w:val="00D01140"/>
    <w:rsid w:val="00D52E41"/>
    <w:rsid w:val="00D64C0E"/>
    <w:rsid w:val="00DC3E53"/>
    <w:rsid w:val="00DD1B67"/>
    <w:rsid w:val="00E8287B"/>
    <w:rsid w:val="00EA3BAC"/>
    <w:rsid w:val="00EB26C8"/>
    <w:rsid w:val="00F01E49"/>
    <w:rsid w:val="00F0714D"/>
    <w:rsid w:val="00F204C3"/>
    <w:rsid w:val="00FC0B9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5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6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5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6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63B-D2FE-49AB-8409-6A43DACD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aspem001</dc:creator>
  <cp:lastModifiedBy>valak001</cp:lastModifiedBy>
  <cp:revision>2</cp:revision>
  <cp:lastPrinted>2015-03-23T12:27:00Z</cp:lastPrinted>
  <dcterms:created xsi:type="dcterms:W3CDTF">2015-03-25T11:18:00Z</dcterms:created>
  <dcterms:modified xsi:type="dcterms:W3CDTF">2015-03-25T11:18:00Z</dcterms:modified>
</cp:coreProperties>
</file>