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44" w:rsidRPr="000838BE" w:rsidRDefault="000B1144" w:rsidP="000B1144">
      <w:pPr>
        <w:rPr>
          <w:b/>
        </w:rPr>
      </w:pPr>
      <w:bookmarkStart w:id="0" w:name="_GoBack"/>
      <w:bookmarkEnd w:id="0"/>
      <w:r w:rsidRPr="000838BE">
        <w:rPr>
          <w:b/>
        </w:rPr>
        <w:t>FOIA 7704</w:t>
      </w:r>
      <w:r w:rsidR="00D45B24">
        <w:rPr>
          <w:b/>
        </w:rPr>
        <w:t xml:space="preserve"> Attachment</w:t>
      </w:r>
    </w:p>
    <w:p w:rsidR="000B1144" w:rsidRPr="00672E03" w:rsidRDefault="000B1144" w:rsidP="000B1144">
      <w:pPr>
        <w:rPr>
          <w:i/>
        </w:rPr>
      </w:pPr>
      <w:r w:rsidRPr="00672E03">
        <w:rPr>
          <w:i/>
        </w:rPr>
        <w:t>How many under 18’s within the authority's area have been referred to drink and/or drug addiction treatment services?</w:t>
      </w:r>
    </w:p>
    <w:p w:rsidR="000B1144" w:rsidRPr="00672E03" w:rsidRDefault="000B1144" w:rsidP="000B1144">
      <w:pPr>
        <w:rPr>
          <w:i/>
        </w:rPr>
      </w:pPr>
      <w:r w:rsidRPr="00672E03">
        <w:rPr>
          <w:i/>
        </w:rPr>
        <w:t>Please give the figures available for each of the most recent 10 years broken down by age, for example 2009: 1x 11-year-old, 5 x 14-year-old etc.</w:t>
      </w:r>
    </w:p>
    <w:p w:rsidR="000B1144" w:rsidRDefault="000B1144" w:rsidP="000B1144">
      <w:r>
        <w:t>The table below is based on records showing the numbers of young people in treatment.</w:t>
      </w:r>
      <w:r w:rsidR="00384D03">
        <w:t xml:space="preserve">  </w:t>
      </w:r>
      <w:r>
        <w:t>It provides a breakdown by age of the numbers of young people for the 10 years from 2005/06 to 2014/15. The main source of information has been the National Drug Treatment Monitoring System (NDTMS) which provides an overall number for the partnership. NDTMS is the most reliable source of data as it reduces the risk of duplicate reporting where a young person may have been in contact with more than one agency over a whole year. However there are some caveats regarding the use of NDTMS data over such a long period. The NDTMS system has evolved over this ten year period, not all treatment agencies were using the system at the start, where it was being used occasionally young people would not give their consent for their data to be uploaded and for some years NDTMS information is missing or does not provide a full breakdown of age. For much of 2014/15 the NDTMS system has not been operating and we are currently unable to access it for up to date records.</w:t>
      </w:r>
      <w:r w:rsidRPr="00331B14">
        <w:t xml:space="preserve"> </w:t>
      </w:r>
      <w:r>
        <w:t>Where possible we have therefore used reports sent directly by agencies in the year in question to the Local Authority to help provide a breakdown.</w:t>
      </w:r>
    </w:p>
    <w:p w:rsidR="00384D03" w:rsidRDefault="00384D03">
      <w:r>
        <w:br w:type="page"/>
      </w:r>
    </w:p>
    <w:p w:rsidR="00384D03" w:rsidRDefault="00384D03" w:rsidP="000B1144"/>
    <w:tbl>
      <w:tblPr>
        <w:tblStyle w:val="TableGrid"/>
        <w:tblW w:w="0" w:type="auto"/>
        <w:tblInd w:w="-318" w:type="dxa"/>
        <w:tblLook w:val="04A0" w:firstRow="1" w:lastRow="0" w:firstColumn="1" w:lastColumn="0" w:noHBand="0" w:noVBand="1"/>
      </w:tblPr>
      <w:tblGrid>
        <w:gridCol w:w="993"/>
        <w:gridCol w:w="1985"/>
        <w:gridCol w:w="1581"/>
        <w:gridCol w:w="1090"/>
        <w:gridCol w:w="1193"/>
        <w:gridCol w:w="1295"/>
        <w:gridCol w:w="1296"/>
        <w:gridCol w:w="1295"/>
        <w:gridCol w:w="1295"/>
        <w:gridCol w:w="1272"/>
        <w:gridCol w:w="1197"/>
      </w:tblGrid>
      <w:tr w:rsidR="000B1144" w:rsidTr="00A6462A">
        <w:trPr>
          <w:tblHeader/>
        </w:trPr>
        <w:tc>
          <w:tcPr>
            <w:tcW w:w="993" w:type="dxa"/>
          </w:tcPr>
          <w:p w:rsidR="000B1144" w:rsidRDefault="000B1144" w:rsidP="00A6462A"/>
        </w:tc>
        <w:tc>
          <w:tcPr>
            <w:tcW w:w="1985" w:type="dxa"/>
          </w:tcPr>
          <w:p w:rsidR="000B1144" w:rsidRDefault="000B1144" w:rsidP="00A6462A">
            <w:r>
              <w:t>2005/06</w:t>
            </w:r>
            <w:r>
              <w:rPr>
                <w:rStyle w:val="FootnoteReference"/>
              </w:rPr>
              <w:footnoteReference w:id="1"/>
            </w:r>
          </w:p>
        </w:tc>
        <w:tc>
          <w:tcPr>
            <w:tcW w:w="1581" w:type="dxa"/>
          </w:tcPr>
          <w:p w:rsidR="000B1144" w:rsidRDefault="000B1144" w:rsidP="00A6462A">
            <w:r>
              <w:t>2006/07</w:t>
            </w:r>
          </w:p>
        </w:tc>
        <w:tc>
          <w:tcPr>
            <w:tcW w:w="1090" w:type="dxa"/>
          </w:tcPr>
          <w:p w:rsidR="000B1144" w:rsidRDefault="000B1144" w:rsidP="00A6462A">
            <w:r>
              <w:t>2007/08</w:t>
            </w:r>
          </w:p>
        </w:tc>
        <w:tc>
          <w:tcPr>
            <w:tcW w:w="1193" w:type="dxa"/>
          </w:tcPr>
          <w:p w:rsidR="000B1144" w:rsidRDefault="000B1144" w:rsidP="00A6462A">
            <w:r>
              <w:t>2008/09</w:t>
            </w:r>
          </w:p>
        </w:tc>
        <w:tc>
          <w:tcPr>
            <w:tcW w:w="1295" w:type="dxa"/>
          </w:tcPr>
          <w:p w:rsidR="000B1144" w:rsidRDefault="000B1144" w:rsidP="00A6462A">
            <w:r>
              <w:t>2009/10</w:t>
            </w:r>
          </w:p>
        </w:tc>
        <w:tc>
          <w:tcPr>
            <w:tcW w:w="1296" w:type="dxa"/>
          </w:tcPr>
          <w:p w:rsidR="000B1144" w:rsidRDefault="000B1144" w:rsidP="00A6462A">
            <w:r>
              <w:t>2010/11</w:t>
            </w:r>
          </w:p>
        </w:tc>
        <w:tc>
          <w:tcPr>
            <w:tcW w:w="1295" w:type="dxa"/>
          </w:tcPr>
          <w:p w:rsidR="000B1144" w:rsidRDefault="000B1144" w:rsidP="00A6462A">
            <w:r>
              <w:t>2011/12</w:t>
            </w:r>
          </w:p>
        </w:tc>
        <w:tc>
          <w:tcPr>
            <w:tcW w:w="1295" w:type="dxa"/>
          </w:tcPr>
          <w:p w:rsidR="000B1144" w:rsidRDefault="000B1144" w:rsidP="00A6462A">
            <w:r>
              <w:t>2012/13</w:t>
            </w:r>
          </w:p>
        </w:tc>
        <w:tc>
          <w:tcPr>
            <w:tcW w:w="1272" w:type="dxa"/>
          </w:tcPr>
          <w:p w:rsidR="000B1144" w:rsidRDefault="000B1144" w:rsidP="00A6462A">
            <w:r>
              <w:t>2013/14</w:t>
            </w:r>
          </w:p>
        </w:tc>
        <w:tc>
          <w:tcPr>
            <w:tcW w:w="1197" w:type="dxa"/>
          </w:tcPr>
          <w:p w:rsidR="000B1144" w:rsidRPr="00D36A31" w:rsidRDefault="000B1144" w:rsidP="00A6462A">
            <w:pPr>
              <w:rPr>
                <w:vertAlign w:val="superscript"/>
              </w:rPr>
            </w:pPr>
            <w:r>
              <w:t>2014/15 (YTD April-Dec 2014-15)</w:t>
            </w:r>
            <w:r>
              <w:rPr>
                <w:vertAlign w:val="superscript"/>
              </w:rPr>
              <w:t>5</w:t>
            </w:r>
          </w:p>
        </w:tc>
      </w:tr>
      <w:tr w:rsidR="000B1144" w:rsidTr="00A6462A">
        <w:tc>
          <w:tcPr>
            <w:tcW w:w="993" w:type="dxa"/>
          </w:tcPr>
          <w:p w:rsidR="000B1144" w:rsidRDefault="00B650FA" w:rsidP="00A6462A">
            <w:r>
              <w:t>Age of Young Person</w:t>
            </w:r>
          </w:p>
        </w:tc>
        <w:tc>
          <w:tcPr>
            <w:tcW w:w="1985" w:type="dxa"/>
          </w:tcPr>
          <w:p w:rsidR="000B1144" w:rsidRDefault="000B1144" w:rsidP="00A6462A">
            <w:r>
              <w:t>Archived early NDTMS report no longer available on NDTMS</w:t>
            </w:r>
          </w:p>
        </w:tc>
        <w:tc>
          <w:tcPr>
            <w:tcW w:w="1581" w:type="dxa"/>
          </w:tcPr>
          <w:p w:rsidR="000B1144" w:rsidRDefault="000B1144" w:rsidP="00A6462A">
            <w:r w:rsidRPr="00820620">
              <w:t>Archive</w:t>
            </w:r>
            <w:r>
              <w:t>d early NDTMS report no longer a</w:t>
            </w:r>
            <w:r w:rsidRPr="00820620">
              <w:t>vailable on NDTMS</w:t>
            </w:r>
          </w:p>
        </w:tc>
        <w:tc>
          <w:tcPr>
            <w:tcW w:w="1090" w:type="dxa"/>
          </w:tcPr>
          <w:p w:rsidR="000B1144" w:rsidRDefault="000B1144" w:rsidP="00A6462A">
            <w:r>
              <w:t>Agency Records</w:t>
            </w:r>
            <w:r>
              <w:rPr>
                <w:rStyle w:val="FootnoteReference"/>
              </w:rPr>
              <w:footnoteReference w:id="2"/>
            </w:r>
          </w:p>
        </w:tc>
        <w:tc>
          <w:tcPr>
            <w:tcW w:w="1193" w:type="dxa"/>
          </w:tcPr>
          <w:p w:rsidR="000B1144" w:rsidRDefault="000B1144" w:rsidP="00A6462A">
            <w:r>
              <w:t>NDTMS</w:t>
            </w:r>
          </w:p>
        </w:tc>
        <w:tc>
          <w:tcPr>
            <w:tcW w:w="1295" w:type="dxa"/>
          </w:tcPr>
          <w:p w:rsidR="000B1144" w:rsidRDefault="000B1144" w:rsidP="00A6462A">
            <w:r>
              <w:t>NDTMS</w:t>
            </w:r>
          </w:p>
        </w:tc>
        <w:tc>
          <w:tcPr>
            <w:tcW w:w="1296" w:type="dxa"/>
          </w:tcPr>
          <w:p w:rsidR="000B1144" w:rsidRDefault="000B1144" w:rsidP="00A6462A">
            <w:r>
              <w:t>Archived NDTMS record no longer available on NDTMS</w:t>
            </w:r>
            <w:r>
              <w:rPr>
                <w:rStyle w:val="FootnoteReference"/>
              </w:rPr>
              <w:footnoteReference w:id="3"/>
            </w:r>
          </w:p>
        </w:tc>
        <w:tc>
          <w:tcPr>
            <w:tcW w:w="1295" w:type="dxa"/>
          </w:tcPr>
          <w:p w:rsidR="000B1144" w:rsidRDefault="000B1144" w:rsidP="00A6462A">
            <w:r>
              <w:t>NDTMS</w:t>
            </w:r>
          </w:p>
        </w:tc>
        <w:tc>
          <w:tcPr>
            <w:tcW w:w="1295" w:type="dxa"/>
          </w:tcPr>
          <w:p w:rsidR="000B1144" w:rsidRDefault="000B1144" w:rsidP="00A6462A">
            <w:r>
              <w:t>NDTMS</w:t>
            </w:r>
          </w:p>
        </w:tc>
        <w:tc>
          <w:tcPr>
            <w:tcW w:w="1272" w:type="dxa"/>
          </w:tcPr>
          <w:p w:rsidR="000B1144" w:rsidRDefault="000B1144" w:rsidP="00A6462A">
            <w:r>
              <w:t>NDTMS</w:t>
            </w:r>
          </w:p>
        </w:tc>
        <w:tc>
          <w:tcPr>
            <w:tcW w:w="1197" w:type="dxa"/>
          </w:tcPr>
          <w:p w:rsidR="000B1144" w:rsidRDefault="000B1144" w:rsidP="00A6462A">
            <w:r>
              <w:t>Provider local report (due to NDTMS downtime)</w:t>
            </w:r>
          </w:p>
        </w:tc>
      </w:tr>
      <w:tr w:rsidR="000B1144" w:rsidTr="00A6462A">
        <w:tc>
          <w:tcPr>
            <w:tcW w:w="993" w:type="dxa"/>
          </w:tcPr>
          <w:p w:rsidR="000B1144" w:rsidRDefault="000B1144" w:rsidP="00A6462A">
            <w:r>
              <w:t>10</w:t>
            </w:r>
          </w:p>
        </w:tc>
        <w:tc>
          <w:tcPr>
            <w:tcW w:w="1985" w:type="dxa"/>
          </w:tcPr>
          <w:p w:rsidR="000B1144" w:rsidRDefault="000B1144" w:rsidP="00A6462A">
            <w:r>
              <w:t>0</w:t>
            </w:r>
          </w:p>
        </w:tc>
        <w:tc>
          <w:tcPr>
            <w:tcW w:w="1581" w:type="dxa"/>
          </w:tcPr>
          <w:p w:rsidR="000B1144" w:rsidRDefault="000B1144" w:rsidP="00A6462A">
            <w:r>
              <w:t>0</w:t>
            </w:r>
          </w:p>
        </w:tc>
        <w:tc>
          <w:tcPr>
            <w:tcW w:w="1090" w:type="dxa"/>
          </w:tcPr>
          <w:p w:rsidR="000B1144" w:rsidRDefault="000B1144" w:rsidP="00A6462A">
            <w:r>
              <w:t>0</w:t>
            </w:r>
          </w:p>
        </w:tc>
        <w:tc>
          <w:tcPr>
            <w:tcW w:w="1193" w:type="dxa"/>
          </w:tcPr>
          <w:p w:rsidR="000B1144" w:rsidRDefault="000B1144" w:rsidP="00A6462A">
            <w:r>
              <w:t>0</w:t>
            </w:r>
          </w:p>
        </w:tc>
        <w:tc>
          <w:tcPr>
            <w:tcW w:w="1295" w:type="dxa"/>
          </w:tcPr>
          <w:p w:rsidR="000B1144" w:rsidRDefault="000B1144" w:rsidP="00A6462A">
            <w:r>
              <w:t>0</w:t>
            </w:r>
          </w:p>
        </w:tc>
        <w:tc>
          <w:tcPr>
            <w:tcW w:w="1296" w:type="dxa"/>
          </w:tcPr>
          <w:p w:rsidR="000B1144" w:rsidRDefault="000B1144" w:rsidP="00A6462A">
            <w:r>
              <w:t>1</w:t>
            </w:r>
          </w:p>
        </w:tc>
        <w:tc>
          <w:tcPr>
            <w:tcW w:w="1295" w:type="dxa"/>
          </w:tcPr>
          <w:p w:rsidR="000B1144" w:rsidRDefault="000B1144" w:rsidP="00A6462A">
            <w:r>
              <w:t>0</w:t>
            </w:r>
          </w:p>
        </w:tc>
        <w:tc>
          <w:tcPr>
            <w:tcW w:w="1295" w:type="dxa"/>
          </w:tcPr>
          <w:p w:rsidR="000B1144" w:rsidRDefault="000B1144" w:rsidP="00A6462A">
            <w:r>
              <w:t>0</w:t>
            </w:r>
          </w:p>
        </w:tc>
        <w:tc>
          <w:tcPr>
            <w:tcW w:w="1272" w:type="dxa"/>
          </w:tcPr>
          <w:p w:rsidR="000B1144" w:rsidRDefault="000B1144" w:rsidP="00A6462A">
            <w:r>
              <w:t>0</w:t>
            </w:r>
          </w:p>
        </w:tc>
        <w:tc>
          <w:tcPr>
            <w:tcW w:w="1197" w:type="dxa"/>
            <w:vAlign w:val="bottom"/>
          </w:tcPr>
          <w:p w:rsidR="000B1144" w:rsidRDefault="000B1144" w:rsidP="00A6462A">
            <w:pPr>
              <w:jc w:val="right"/>
              <w:rPr>
                <w:rFonts w:ascii="Calibri" w:hAnsi="Calibri"/>
                <w:color w:val="000000"/>
              </w:rPr>
            </w:pPr>
            <w:r>
              <w:rPr>
                <w:rFonts w:ascii="Calibri" w:hAnsi="Calibri"/>
                <w:color w:val="000000"/>
              </w:rPr>
              <w:t>0</w:t>
            </w:r>
          </w:p>
        </w:tc>
      </w:tr>
      <w:tr w:rsidR="000B1144" w:rsidTr="00A6462A">
        <w:tc>
          <w:tcPr>
            <w:tcW w:w="993" w:type="dxa"/>
          </w:tcPr>
          <w:p w:rsidR="000B1144" w:rsidRDefault="000B1144" w:rsidP="00A6462A">
            <w:r>
              <w:t>11</w:t>
            </w:r>
          </w:p>
        </w:tc>
        <w:tc>
          <w:tcPr>
            <w:tcW w:w="1985" w:type="dxa"/>
          </w:tcPr>
          <w:p w:rsidR="000B1144" w:rsidRDefault="000B1144" w:rsidP="00A6462A">
            <w:r>
              <w:t>0</w:t>
            </w:r>
          </w:p>
        </w:tc>
        <w:tc>
          <w:tcPr>
            <w:tcW w:w="1581" w:type="dxa"/>
          </w:tcPr>
          <w:p w:rsidR="000B1144" w:rsidRDefault="000B1144" w:rsidP="00A6462A">
            <w:r>
              <w:t>0</w:t>
            </w:r>
          </w:p>
        </w:tc>
        <w:tc>
          <w:tcPr>
            <w:tcW w:w="1090" w:type="dxa"/>
          </w:tcPr>
          <w:p w:rsidR="000B1144" w:rsidRDefault="000B1144" w:rsidP="00A6462A">
            <w:r>
              <w:t>0</w:t>
            </w:r>
          </w:p>
        </w:tc>
        <w:tc>
          <w:tcPr>
            <w:tcW w:w="1193" w:type="dxa"/>
          </w:tcPr>
          <w:p w:rsidR="000B1144" w:rsidRDefault="000B1144" w:rsidP="00A6462A">
            <w:r>
              <w:t>1</w:t>
            </w:r>
          </w:p>
        </w:tc>
        <w:tc>
          <w:tcPr>
            <w:tcW w:w="1295" w:type="dxa"/>
          </w:tcPr>
          <w:p w:rsidR="000B1144" w:rsidRDefault="000B1144" w:rsidP="00A6462A">
            <w:r>
              <w:t>1</w:t>
            </w:r>
          </w:p>
        </w:tc>
        <w:tc>
          <w:tcPr>
            <w:tcW w:w="1296" w:type="dxa"/>
          </w:tcPr>
          <w:p w:rsidR="000B1144" w:rsidRDefault="000B1144" w:rsidP="00A6462A">
            <w:r>
              <w:t>0</w:t>
            </w:r>
          </w:p>
        </w:tc>
        <w:tc>
          <w:tcPr>
            <w:tcW w:w="1295" w:type="dxa"/>
          </w:tcPr>
          <w:p w:rsidR="000B1144" w:rsidRDefault="000B1144" w:rsidP="00A6462A">
            <w:r>
              <w:t>1</w:t>
            </w:r>
          </w:p>
        </w:tc>
        <w:tc>
          <w:tcPr>
            <w:tcW w:w="1295" w:type="dxa"/>
          </w:tcPr>
          <w:p w:rsidR="000B1144" w:rsidRDefault="000B1144" w:rsidP="00A6462A">
            <w:r>
              <w:t>0</w:t>
            </w:r>
          </w:p>
        </w:tc>
        <w:tc>
          <w:tcPr>
            <w:tcW w:w="1272" w:type="dxa"/>
          </w:tcPr>
          <w:p w:rsidR="000B1144" w:rsidRDefault="000B1144" w:rsidP="00A6462A">
            <w:r>
              <w:t>0</w:t>
            </w:r>
          </w:p>
        </w:tc>
        <w:tc>
          <w:tcPr>
            <w:tcW w:w="1197" w:type="dxa"/>
            <w:vAlign w:val="bottom"/>
          </w:tcPr>
          <w:p w:rsidR="000B1144" w:rsidRDefault="000B1144" w:rsidP="00A6462A">
            <w:pPr>
              <w:jc w:val="right"/>
              <w:rPr>
                <w:rFonts w:ascii="Calibri" w:hAnsi="Calibri"/>
                <w:color w:val="000000"/>
              </w:rPr>
            </w:pPr>
            <w:r>
              <w:rPr>
                <w:rFonts w:ascii="Calibri" w:hAnsi="Calibri"/>
                <w:color w:val="000000"/>
              </w:rPr>
              <w:t>0</w:t>
            </w:r>
          </w:p>
        </w:tc>
      </w:tr>
      <w:tr w:rsidR="000B1144" w:rsidTr="00A6462A">
        <w:tc>
          <w:tcPr>
            <w:tcW w:w="993" w:type="dxa"/>
          </w:tcPr>
          <w:p w:rsidR="000B1144" w:rsidRDefault="000B1144" w:rsidP="00A6462A">
            <w:r>
              <w:t>12</w:t>
            </w:r>
          </w:p>
        </w:tc>
        <w:tc>
          <w:tcPr>
            <w:tcW w:w="1985" w:type="dxa"/>
          </w:tcPr>
          <w:p w:rsidR="000B1144" w:rsidRDefault="000B1144" w:rsidP="00A6462A">
            <w:r>
              <w:t>0</w:t>
            </w:r>
          </w:p>
        </w:tc>
        <w:tc>
          <w:tcPr>
            <w:tcW w:w="1581" w:type="dxa"/>
          </w:tcPr>
          <w:p w:rsidR="000B1144" w:rsidRDefault="000B1144" w:rsidP="00A6462A">
            <w:r>
              <w:t>1</w:t>
            </w:r>
          </w:p>
        </w:tc>
        <w:tc>
          <w:tcPr>
            <w:tcW w:w="1090" w:type="dxa"/>
          </w:tcPr>
          <w:p w:rsidR="000B1144" w:rsidRDefault="000B1144" w:rsidP="00A6462A">
            <w:r>
              <w:t>1</w:t>
            </w:r>
          </w:p>
        </w:tc>
        <w:tc>
          <w:tcPr>
            <w:tcW w:w="1193" w:type="dxa"/>
          </w:tcPr>
          <w:p w:rsidR="000B1144" w:rsidRDefault="000B1144" w:rsidP="00A6462A">
            <w:r>
              <w:t>0</w:t>
            </w:r>
          </w:p>
        </w:tc>
        <w:tc>
          <w:tcPr>
            <w:tcW w:w="1295" w:type="dxa"/>
          </w:tcPr>
          <w:p w:rsidR="000B1144" w:rsidRDefault="000B1144" w:rsidP="00A6462A">
            <w:r>
              <w:t>1</w:t>
            </w:r>
          </w:p>
        </w:tc>
        <w:tc>
          <w:tcPr>
            <w:tcW w:w="1296" w:type="dxa"/>
          </w:tcPr>
          <w:p w:rsidR="000B1144" w:rsidRDefault="000B1144" w:rsidP="00A6462A">
            <w:r>
              <w:t>2</w:t>
            </w:r>
          </w:p>
        </w:tc>
        <w:tc>
          <w:tcPr>
            <w:tcW w:w="1295" w:type="dxa"/>
          </w:tcPr>
          <w:p w:rsidR="000B1144" w:rsidRDefault="000B1144" w:rsidP="00A6462A">
            <w:r>
              <w:t>0</w:t>
            </w:r>
          </w:p>
        </w:tc>
        <w:tc>
          <w:tcPr>
            <w:tcW w:w="1295" w:type="dxa"/>
          </w:tcPr>
          <w:p w:rsidR="000B1144" w:rsidRDefault="000B1144" w:rsidP="00A6462A">
            <w:r>
              <w:t>1</w:t>
            </w:r>
          </w:p>
        </w:tc>
        <w:tc>
          <w:tcPr>
            <w:tcW w:w="1272" w:type="dxa"/>
          </w:tcPr>
          <w:p w:rsidR="000B1144" w:rsidRDefault="000B1144" w:rsidP="00A6462A">
            <w:r>
              <w:t>0</w:t>
            </w:r>
          </w:p>
        </w:tc>
        <w:tc>
          <w:tcPr>
            <w:tcW w:w="1197" w:type="dxa"/>
            <w:vAlign w:val="bottom"/>
          </w:tcPr>
          <w:p w:rsidR="000B1144" w:rsidRDefault="000B1144" w:rsidP="00A6462A">
            <w:pPr>
              <w:jc w:val="right"/>
              <w:rPr>
                <w:rFonts w:ascii="Calibri" w:hAnsi="Calibri"/>
                <w:color w:val="000000"/>
              </w:rPr>
            </w:pPr>
            <w:r>
              <w:rPr>
                <w:rFonts w:ascii="Calibri" w:hAnsi="Calibri"/>
                <w:color w:val="000000"/>
              </w:rPr>
              <w:t>2</w:t>
            </w:r>
          </w:p>
        </w:tc>
      </w:tr>
      <w:tr w:rsidR="000B1144" w:rsidTr="00A6462A">
        <w:tc>
          <w:tcPr>
            <w:tcW w:w="993" w:type="dxa"/>
          </w:tcPr>
          <w:p w:rsidR="000B1144" w:rsidRDefault="000B1144" w:rsidP="00A6462A">
            <w:r>
              <w:t>13</w:t>
            </w:r>
          </w:p>
        </w:tc>
        <w:tc>
          <w:tcPr>
            <w:tcW w:w="1985" w:type="dxa"/>
          </w:tcPr>
          <w:p w:rsidR="000B1144" w:rsidRDefault="000B1144" w:rsidP="00A6462A">
            <w:r>
              <w:t>1</w:t>
            </w:r>
          </w:p>
        </w:tc>
        <w:tc>
          <w:tcPr>
            <w:tcW w:w="1581" w:type="dxa"/>
          </w:tcPr>
          <w:p w:rsidR="000B1144" w:rsidRDefault="000B1144" w:rsidP="00A6462A">
            <w:r>
              <w:t>1</w:t>
            </w:r>
          </w:p>
        </w:tc>
        <w:tc>
          <w:tcPr>
            <w:tcW w:w="1090" w:type="dxa"/>
          </w:tcPr>
          <w:p w:rsidR="000B1144" w:rsidRDefault="000B1144" w:rsidP="00A6462A">
            <w:r>
              <w:t>5</w:t>
            </w:r>
          </w:p>
        </w:tc>
        <w:tc>
          <w:tcPr>
            <w:tcW w:w="1193" w:type="dxa"/>
          </w:tcPr>
          <w:p w:rsidR="000B1144" w:rsidRDefault="000B1144" w:rsidP="00A6462A">
            <w:r>
              <w:t>1</w:t>
            </w:r>
          </w:p>
        </w:tc>
        <w:tc>
          <w:tcPr>
            <w:tcW w:w="1295" w:type="dxa"/>
          </w:tcPr>
          <w:p w:rsidR="000B1144" w:rsidRDefault="000B1144" w:rsidP="00A6462A">
            <w:r>
              <w:t>2</w:t>
            </w:r>
          </w:p>
        </w:tc>
        <w:tc>
          <w:tcPr>
            <w:tcW w:w="1296" w:type="dxa"/>
          </w:tcPr>
          <w:p w:rsidR="000B1144" w:rsidRDefault="000B1144" w:rsidP="00A6462A">
            <w:r>
              <w:t>4</w:t>
            </w:r>
          </w:p>
        </w:tc>
        <w:tc>
          <w:tcPr>
            <w:tcW w:w="1295" w:type="dxa"/>
          </w:tcPr>
          <w:p w:rsidR="000B1144" w:rsidRDefault="000B1144" w:rsidP="00A6462A">
            <w:r>
              <w:t>2</w:t>
            </w:r>
          </w:p>
        </w:tc>
        <w:tc>
          <w:tcPr>
            <w:tcW w:w="1295" w:type="dxa"/>
          </w:tcPr>
          <w:p w:rsidR="000B1144" w:rsidRDefault="000B1144" w:rsidP="00A6462A">
            <w:r>
              <w:t>2</w:t>
            </w:r>
          </w:p>
        </w:tc>
        <w:tc>
          <w:tcPr>
            <w:tcW w:w="1272" w:type="dxa"/>
            <w:vMerge w:val="restart"/>
          </w:tcPr>
          <w:p w:rsidR="000B1144" w:rsidRDefault="000B1144" w:rsidP="00A6462A">
            <w:r>
              <w:t xml:space="preserve">7 </w:t>
            </w:r>
            <w:r w:rsidR="008E3027">
              <w:t xml:space="preserve">x </w:t>
            </w:r>
            <w:r>
              <w:t>13/14 year olds</w:t>
            </w:r>
            <w:r>
              <w:rPr>
                <w:rStyle w:val="FootnoteReference"/>
              </w:rPr>
              <w:footnoteReference w:id="4"/>
            </w:r>
          </w:p>
        </w:tc>
        <w:tc>
          <w:tcPr>
            <w:tcW w:w="1197" w:type="dxa"/>
            <w:vAlign w:val="bottom"/>
          </w:tcPr>
          <w:p w:rsidR="000B1144" w:rsidRDefault="000B1144" w:rsidP="00A6462A">
            <w:pPr>
              <w:jc w:val="right"/>
              <w:rPr>
                <w:rFonts w:ascii="Calibri" w:hAnsi="Calibri"/>
                <w:color w:val="000000"/>
              </w:rPr>
            </w:pPr>
            <w:r>
              <w:rPr>
                <w:rFonts w:ascii="Calibri" w:hAnsi="Calibri"/>
                <w:color w:val="000000"/>
              </w:rPr>
              <w:t>5</w:t>
            </w:r>
          </w:p>
        </w:tc>
      </w:tr>
      <w:tr w:rsidR="000B1144" w:rsidTr="00A6462A">
        <w:tc>
          <w:tcPr>
            <w:tcW w:w="993" w:type="dxa"/>
          </w:tcPr>
          <w:p w:rsidR="000B1144" w:rsidRDefault="000B1144" w:rsidP="00A6462A">
            <w:r>
              <w:t>14</w:t>
            </w:r>
          </w:p>
        </w:tc>
        <w:tc>
          <w:tcPr>
            <w:tcW w:w="1985" w:type="dxa"/>
          </w:tcPr>
          <w:p w:rsidR="000B1144" w:rsidRDefault="000B1144" w:rsidP="00A6462A">
            <w:r>
              <w:t>4</w:t>
            </w:r>
          </w:p>
        </w:tc>
        <w:tc>
          <w:tcPr>
            <w:tcW w:w="1581" w:type="dxa"/>
          </w:tcPr>
          <w:p w:rsidR="000B1144" w:rsidRDefault="000B1144" w:rsidP="00A6462A">
            <w:r>
              <w:t>15</w:t>
            </w:r>
          </w:p>
        </w:tc>
        <w:tc>
          <w:tcPr>
            <w:tcW w:w="1090" w:type="dxa"/>
          </w:tcPr>
          <w:p w:rsidR="000B1144" w:rsidRDefault="000B1144" w:rsidP="00A6462A">
            <w:r>
              <w:t>14</w:t>
            </w:r>
          </w:p>
        </w:tc>
        <w:tc>
          <w:tcPr>
            <w:tcW w:w="1193" w:type="dxa"/>
          </w:tcPr>
          <w:p w:rsidR="000B1144" w:rsidRDefault="000B1144" w:rsidP="00A6462A">
            <w:r>
              <w:t>8</w:t>
            </w:r>
          </w:p>
        </w:tc>
        <w:tc>
          <w:tcPr>
            <w:tcW w:w="1295" w:type="dxa"/>
          </w:tcPr>
          <w:p w:rsidR="000B1144" w:rsidRDefault="000B1144" w:rsidP="00A6462A">
            <w:r>
              <w:t>7</w:t>
            </w:r>
          </w:p>
        </w:tc>
        <w:tc>
          <w:tcPr>
            <w:tcW w:w="1296" w:type="dxa"/>
          </w:tcPr>
          <w:p w:rsidR="000B1144" w:rsidRDefault="000B1144" w:rsidP="00A6462A">
            <w:r>
              <w:t>10</w:t>
            </w:r>
          </w:p>
        </w:tc>
        <w:tc>
          <w:tcPr>
            <w:tcW w:w="1295" w:type="dxa"/>
          </w:tcPr>
          <w:p w:rsidR="000B1144" w:rsidRDefault="000B1144" w:rsidP="00A6462A">
            <w:r>
              <w:t>24</w:t>
            </w:r>
          </w:p>
        </w:tc>
        <w:tc>
          <w:tcPr>
            <w:tcW w:w="1295" w:type="dxa"/>
          </w:tcPr>
          <w:p w:rsidR="000B1144" w:rsidRDefault="000B1144" w:rsidP="00A6462A">
            <w:r>
              <w:t>12</w:t>
            </w:r>
          </w:p>
        </w:tc>
        <w:tc>
          <w:tcPr>
            <w:tcW w:w="1272" w:type="dxa"/>
            <w:vMerge/>
          </w:tcPr>
          <w:p w:rsidR="000B1144" w:rsidRDefault="000B1144" w:rsidP="00A6462A"/>
        </w:tc>
        <w:tc>
          <w:tcPr>
            <w:tcW w:w="1197" w:type="dxa"/>
            <w:vAlign w:val="bottom"/>
          </w:tcPr>
          <w:p w:rsidR="000B1144" w:rsidRDefault="000B1144" w:rsidP="00A6462A">
            <w:pPr>
              <w:jc w:val="right"/>
              <w:rPr>
                <w:rFonts w:ascii="Calibri" w:hAnsi="Calibri"/>
                <w:color w:val="000000"/>
              </w:rPr>
            </w:pPr>
            <w:r>
              <w:rPr>
                <w:rFonts w:ascii="Calibri" w:hAnsi="Calibri"/>
                <w:color w:val="000000"/>
              </w:rPr>
              <w:t>16</w:t>
            </w:r>
          </w:p>
        </w:tc>
      </w:tr>
      <w:tr w:rsidR="000B1144" w:rsidTr="00A6462A">
        <w:tc>
          <w:tcPr>
            <w:tcW w:w="993" w:type="dxa"/>
          </w:tcPr>
          <w:p w:rsidR="000B1144" w:rsidRDefault="000B1144" w:rsidP="00A6462A">
            <w:r>
              <w:t>15</w:t>
            </w:r>
          </w:p>
        </w:tc>
        <w:tc>
          <w:tcPr>
            <w:tcW w:w="1985" w:type="dxa"/>
          </w:tcPr>
          <w:p w:rsidR="000B1144" w:rsidRDefault="000B1144" w:rsidP="00A6462A">
            <w:r>
              <w:t>8</w:t>
            </w:r>
          </w:p>
        </w:tc>
        <w:tc>
          <w:tcPr>
            <w:tcW w:w="1581" w:type="dxa"/>
          </w:tcPr>
          <w:p w:rsidR="000B1144" w:rsidRDefault="000B1144" w:rsidP="00A6462A">
            <w:r>
              <w:t>25</w:t>
            </w:r>
          </w:p>
        </w:tc>
        <w:tc>
          <w:tcPr>
            <w:tcW w:w="1090" w:type="dxa"/>
          </w:tcPr>
          <w:p w:rsidR="000B1144" w:rsidRDefault="000B1144" w:rsidP="00A6462A">
            <w:r>
              <w:t>23</w:t>
            </w:r>
          </w:p>
        </w:tc>
        <w:tc>
          <w:tcPr>
            <w:tcW w:w="1193" w:type="dxa"/>
          </w:tcPr>
          <w:p w:rsidR="000B1144" w:rsidRDefault="000B1144" w:rsidP="00A6462A">
            <w:r>
              <w:t>12</w:t>
            </w:r>
          </w:p>
        </w:tc>
        <w:tc>
          <w:tcPr>
            <w:tcW w:w="1295" w:type="dxa"/>
          </w:tcPr>
          <w:p w:rsidR="000B1144" w:rsidRDefault="000B1144" w:rsidP="00A6462A">
            <w:r>
              <w:t>16</w:t>
            </w:r>
          </w:p>
        </w:tc>
        <w:tc>
          <w:tcPr>
            <w:tcW w:w="1296" w:type="dxa"/>
          </w:tcPr>
          <w:p w:rsidR="000B1144" w:rsidRDefault="000B1144" w:rsidP="00A6462A">
            <w:r>
              <w:t>13</w:t>
            </w:r>
          </w:p>
        </w:tc>
        <w:tc>
          <w:tcPr>
            <w:tcW w:w="1295" w:type="dxa"/>
          </w:tcPr>
          <w:p w:rsidR="000B1144" w:rsidRDefault="000B1144" w:rsidP="00A6462A">
            <w:r>
              <w:t>22</w:t>
            </w:r>
          </w:p>
        </w:tc>
        <w:tc>
          <w:tcPr>
            <w:tcW w:w="1295" w:type="dxa"/>
          </w:tcPr>
          <w:p w:rsidR="000B1144" w:rsidRDefault="000B1144" w:rsidP="00A6462A">
            <w:r>
              <w:t>37</w:t>
            </w:r>
          </w:p>
        </w:tc>
        <w:tc>
          <w:tcPr>
            <w:tcW w:w="1272" w:type="dxa"/>
            <w:vAlign w:val="center"/>
          </w:tcPr>
          <w:p w:rsidR="000B1144" w:rsidRDefault="000B1144" w:rsidP="00A6462A">
            <w:pPr>
              <w:jc w:val="center"/>
              <w:rPr>
                <w:rFonts w:ascii="Arial" w:hAnsi="Arial" w:cs="Arial"/>
                <w:color w:val="000000"/>
                <w:sz w:val="20"/>
                <w:szCs w:val="20"/>
              </w:rPr>
            </w:pPr>
            <w:r>
              <w:rPr>
                <w:rFonts w:ascii="Arial" w:hAnsi="Arial" w:cs="Arial"/>
                <w:color w:val="000000"/>
                <w:sz w:val="20"/>
                <w:szCs w:val="20"/>
              </w:rPr>
              <w:t>33</w:t>
            </w:r>
          </w:p>
        </w:tc>
        <w:tc>
          <w:tcPr>
            <w:tcW w:w="1197" w:type="dxa"/>
            <w:vAlign w:val="bottom"/>
          </w:tcPr>
          <w:p w:rsidR="000B1144" w:rsidRDefault="000B1144" w:rsidP="00A6462A">
            <w:pPr>
              <w:jc w:val="right"/>
              <w:rPr>
                <w:rFonts w:ascii="Calibri" w:hAnsi="Calibri"/>
                <w:color w:val="000000"/>
              </w:rPr>
            </w:pPr>
            <w:r>
              <w:rPr>
                <w:rFonts w:ascii="Calibri" w:hAnsi="Calibri"/>
                <w:color w:val="000000"/>
              </w:rPr>
              <w:t>29</w:t>
            </w:r>
          </w:p>
        </w:tc>
      </w:tr>
      <w:tr w:rsidR="000B1144" w:rsidTr="00A6462A">
        <w:tc>
          <w:tcPr>
            <w:tcW w:w="993" w:type="dxa"/>
          </w:tcPr>
          <w:p w:rsidR="000B1144" w:rsidRDefault="000B1144" w:rsidP="00A6462A">
            <w:r>
              <w:t>16</w:t>
            </w:r>
          </w:p>
        </w:tc>
        <w:tc>
          <w:tcPr>
            <w:tcW w:w="1985" w:type="dxa"/>
          </w:tcPr>
          <w:p w:rsidR="000B1144" w:rsidRDefault="000B1144" w:rsidP="00A6462A">
            <w:r>
              <w:t>6</w:t>
            </w:r>
          </w:p>
        </w:tc>
        <w:tc>
          <w:tcPr>
            <w:tcW w:w="1581" w:type="dxa"/>
          </w:tcPr>
          <w:p w:rsidR="000B1144" w:rsidRDefault="000B1144" w:rsidP="00A6462A">
            <w:r>
              <w:t>29</w:t>
            </w:r>
          </w:p>
        </w:tc>
        <w:tc>
          <w:tcPr>
            <w:tcW w:w="1090" w:type="dxa"/>
          </w:tcPr>
          <w:p w:rsidR="000B1144" w:rsidRDefault="000B1144" w:rsidP="00A6462A">
            <w:r>
              <w:t>50</w:t>
            </w:r>
          </w:p>
        </w:tc>
        <w:tc>
          <w:tcPr>
            <w:tcW w:w="1193" w:type="dxa"/>
          </w:tcPr>
          <w:p w:rsidR="000B1144" w:rsidRDefault="000B1144" w:rsidP="00A6462A">
            <w:r>
              <w:t>28</w:t>
            </w:r>
          </w:p>
        </w:tc>
        <w:tc>
          <w:tcPr>
            <w:tcW w:w="1295" w:type="dxa"/>
          </w:tcPr>
          <w:p w:rsidR="000B1144" w:rsidRDefault="000B1144" w:rsidP="00A6462A">
            <w:r>
              <w:t>20</w:t>
            </w:r>
          </w:p>
        </w:tc>
        <w:tc>
          <w:tcPr>
            <w:tcW w:w="1296" w:type="dxa"/>
          </w:tcPr>
          <w:p w:rsidR="000B1144" w:rsidRDefault="000B1144" w:rsidP="00A6462A">
            <w:r>
              <w:t>16</w:t>
            </w:r>
          </w:p>
        </w:tc>
        <w:tc>
          <w:tcPr>
            <w:tcW w:w="1295" w:type="dxa"/>
          </w:tcPr>
          <w:p w:rsidR="000B1144" w:rsidRDefault="000B1144" w:rsidP="00A6462A">
            <w:r>
              <w:t>29</w:t>
            </w:r>
          </w:p>
        </w:tc>
        <w:tc>
          <w:tcPr>
            <w:tcW w:w="1295" w:type="dxa"/>
          </w:tcPr>
          <w:p w:rsidR="000B1144" w:rsidRDefault="000B1144" w:rsidP="00A6462A">
            <w:r>
              <w:t>22</w:t>
            </w:r>
          </w:p>
        </w:tc>
        <w:tc>
          <w:tcPr>
            <w:tcW w:w="1272" w:type="dxa"/>
            <w:vAlign w:val="center"/>
          </w:tcPr>
          <w:p w:rsidR="000B1144" w:rsidRDefault="000B1144" w:rsidP="00A6462A">
            <w:pPr>
              <w:jc w:val="center"/>
              <w:rPr>
                <w:rFonts w:ascii="Arial" w:hAnsi="Arial" w:cs="Arial"/>
                <w:color w:val="000000"/>
                <w:sz w:val="20"/>
                <w:szCs w:val="20"/>
              </w:rPr>
            </w:pPr>
            <w:r>
              <w:rPr>
                <w:rFonts w:ascii="Arial" w:hAnsi="Arial" w:cs="Arial"/>
                <w:color w:val="000000"/>
                <w:sz w:val="20"/>
                <w:szCs w:val="20"/>
              </w:rPr>
              <w:t>44</w:t>
            </w:r>
          </w:p>
        </w:tc>
        <w:tc>
          <w:tcPr>
            <w:tcW w:w="1197" w:type="dxa"/>
            <w:vAlign w:val="bottom"/>
          </w:tcPr>
          <w:p w:rsidR="000B1144" w:rsidRDefault="000B1144" w:rsidP="00A6462A">
            <w:pPr>
              <w:jc w:val="right"/>
              <w:rPr>
                <w:rFonts w:ascii="Calibri" w:hAnsi="Calibri"/>
                <w:color w:val="000000"/>
              </w:rPr>
            </w:pPr>
            <w:r>
              <w:rPr>
                <w:rFonts w:ascii="Calibri" w:hAnsi="Calibri"/>
                <w:color w:val="000000"/>
              </w:rPr>
              <w:t>42</w:t>
            </w:r>
          </w:p>
        </w:tc>
      </w:tr>
      <w:tr w:rsidR="000B1144" w:rsidTr="00A6462A">
        <w:tc>
          <w:tcPr>
            <w:tcW w:w="993" w:type="dxa"/>
          </w:tcPr>
          <w:p w:rsidR="000B1144" w:rsidRDefault="000B1144" w:rsidP="00A6462A">
            <w:r>
              <w:t>17</w:t>
            </w:r>
          </w:p>
        </w:tc>
        <w:tc>
          <w:tcPr>
            <w:tcW w:w="1985" w:type="dxa"/>
          </w:tcPr>
          <w:p w:rsidR="000B1144" w:rsidRDefault="000B1144" w:rsidP="00A6462A">
            <w:r>
              <w:t>17</w:t>
            </w:r>
          </w:p>
        </w:tc>
        <w:tc>
          <w:tcPr>
            <w:tcW w:w="1581" w:type="dxa"/>
          </w:tcPr>
          <w:p w:rsidR="000B1144" w:rsidRDefault="000B1144" w:rsidP="00A6462A">
            <w:r>
              <w:t>47</w:t>
            </w:r>
          </w:p>
        </w:tc>
        <w:tc>
          <w:tcPr>
            <w:tcW w:w="1090" w:type="dxa"/>
          </w:tcPr>
          <w:p w:rsidR="000B1144" w:rsidRDefault="000B1144" w:rsidP="00A6462A">
            <w:r>
              <w:t>83</w:t>
            </w:r>
          </w:p>
        </w:tc>
        <w:tc>
          <w:tcPr>
            <w:tcW w:w="1193" w:type="dxa"/>
          </w:tcPr>
          <w:p w:rsidR="000B1144" w:rsidRDefault="000B1144" w:rsidP="00A6462A">
            <w:r>
              <w:t>30</w:t>
            </w:r>
          </w:p>
        </w:tc>
        <w:tc>
          <w:tcPr>
            <w:tcW w:w="1295" w:type="dxa"/>
          </w:tcPr>
          <w:p w:rsidR="000B1144" w:rsidRDefault="000B1144" w:rsidP="00A6462A">
            <w:r>
              <w:t>38</w:t>
            </w:r>
          </w:p>
        </w:tc>
        <w:tc>
          <w:tcPr>
            <w:tcW w:w="1296" w:type="dxa"/>
          </w:tcPr>
          <w:p w:rsidR="000B1144" w:rsidRDefault="000B1144" w:rsidP="00A6462A">
            <w:r>
              <w:t>34</w:t>
            </w:r>
          </w:p>
        </w:tc>
        <w:tc>
          <w:tcPr>
            <w:tcW w:w="1295" w:type="dxa"/>
          </w:tcPr>
          <w:p w:rsidR="000B1144" w:rsidRDefault="000B1144" w:rsidP="00A6462A">
            <w:r>
              <w:t>29</w:t>
            </w:r>
          </w:p>
        </w:tc>
        <w:tc>
          <w:tcPr>
            <w:tcW w:w="1295" w:type="dxa"/>
          </w:tcPr>
          <w:p w:rsidR="000B1144" w:rsidRDefault="000B1144" w:rsidP="00A6462A">
            <w:r>
              <w:t>27</w:t>
            </w:r>
          </w:p>
        </w:tc>
        <w:tc>
          <w:tcPr>
            <w:tcW w:w="1272" w:type="dxa"/>
            <w:vAlign w:val="center"/>
          </w:tcPr>
          <w:p w:rsidR="000B1144" w:rsidRDefault="000B1144" w:rsidP="00A6462A">
            <w:pPr>
              <w:jc w:val="center"/>
              <w:rPr>
                <w:rFonts w:ascii="Arial" w:hAnsi="Arial" w:cs="Arial"/>
                <w:color w:val="000000"/>
                <w:sz w:val="20"/>
                <w:szCs w:val="20"/>
              </w:rPr>
            </w:pPr>
            <w:r>
              <w:rPr>
                <w:rFonts w:ascii="Arial" w:hAnsi="Arial" w:cs="Arial"/>
                <w:color w:val="000000"/>
                <w:sz w:val="20"/>
                <w:szCs w:val="20"/>
              </w:rPr>
              <w:t>39</w:t>
            </w:r>
          </w:p>
        </w:tc>
        <w:tc>
          <w:tcPr>
            <w:tcW w:w="1197" w:type="dxa"/>
            <w:vAlign w:val="bottom"/>
          </w:tcPr>
          <w:p w:rsidR="000B1144" w:rsidRDefault="000B1144" w:rsidP="00A6462A">
            <w:pPr>
              <w:jc w:val="right"/>
              <w:rPr>
                <w:rFonts w:ascii="Calibri" w:hAnsi="Calibri"/>
                <w:color w:val="000000"/>
              </w:rPr>
            </w:pPr>
            <w:r>
              <w:rPr>
                <w:rFonts w:ascii="Calibri" w:hAnsi="Calibri"/>
                <w:color w:val="000000"/>
              </w:rPr>
              <w:t>49</w:t>
            </w:r>
          </w:p>
        </w:tc>
      </w:tr>
    </w:tbl>
    <w:p w:rsidR="00384D03" w:rsidRDefault="00384D03" w:rsidP="00384D03"/>
    <w:p w:rsidR="00384D03" w:rsidRPr="00384D03" w:rsidRDefault="00384D03" w:rsidP="00384D03"/>
    <w:p w:rsidR="00BB56C7" w:rsidRPr="00384D03" w:rsidRDefault="00BB56C7" w:rsidP="00384D03">
      <w:pPr>
        <w:tabs>
          <w:tab w:val="left" w:pos="3015"/>
        </w:tabs>
      </w:pPr>
    </w:p>
    <w:sectPr w:rsidR="00BB56C7" w:rsidRPr="00384D03" w:rsidSect="00384D03">
      <w:pgSz w:w="16838" w:h="11906" w:orient="landscape"/>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44" w:rsidRDefault="000B1144" w:rsidP="000B1144">
      <w:pPr>
        <w:spacing w:after="0" w:line="240" w:lineRule="auto"/>
      </w:pPr>
      <w:r>
        <w:separator/>
      </w:r>
    </w:p>
  </w:endnote>
  <w:endnote w:type="continuationSeparator" w:id="0">
    <w:p w:rsidR="000B1144" w:rsidRDefault="000B1144" w:rsidP="000B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44" w:rsidRDefault="000B1144" w:rsidP="000B1144">
      <w:pPr>
        <w:spacing w:after="0" w:line="240" w:lineRule="auto"/>
      </w:pPr>
      <w:r>
        <w:separator/>
      </w:r>
    </w:p>
  </w:footnote>
  <w:footnote w:type="continuationSeparator" w:id="0">
    <w:p w:rsidR="000B1144" w:rsidRDefault="000B1144" w:rsidP="000B1144">
      <w:pPr>
        <w:spacing w:after="0" w:line="240" w:lineRule="auto"/>
      </w:pPr>
      <w:r>
        <w:continuationSeparator/>
      </w:r>
    </w:p>
  </w:footnote>
  <w:footnote w:id="1">
    <w:p w:rsidR="000B1144" w:rsidRDefault="000B1144" w:rsidP="000B1144">
      <w:pPr>
        <w:pStyle w:val="FootnoteText"/>
      </w:pPr>
      <w:r>
        <w:rPr>
          <w:rStyle w:val="FootnoteReference"/>
        </w:rPr>
        <w:footnoteRef/>
      </w:r>
      <w:r>
        <w:t xml:space="preserve"> Not all agencies providing treatment were uploading data to the national treatment drug </w:t>
      </w:r>
      <w:proofErr w:type="gramStart"/>
      <w:r>
        <w:t>database(</w:t>
      </w:r>
      <w:proofErr w:type="gramEnd"/>
      <w:r>
        <w:t>NDTMS) over 2005-06 so not all users in treatment counted here.</w:t>
      </w:r>
    </w:p>
  </w:footnote>
  <w:footnote w:id="2">
    <w:p w:rsidR="000B1144" w:rsidRDefault="000B1144" w:rsidP="000B1144">
      <w:pPr>
        <w:pStyle w:val="FootnoteText"/>
      </w:pPr>
      <w:r>
        <w:rPr>
          <w:rStyle w:val="FootnoteReference"/>
        </w:rPr>
        <w:footnoteRef/>
      </w:r>
      <w:r>
        <w:t xml:space="preserve"> NDTMS data for 2007-08 could not be </w:t>
      </w:r>
      <w:proofErr w:type="gramStart"/>
      <w:r>
        <w:t>located,</w:t>
      </w:r>
      <w:proofErr w:type="gramEnd"/>
      <w:r>
        <w:t xml:space="preserve"> however </w:t>
      </w:r>
      <w:r w:rsidR="00FB5CF4">
        <w:t xml:space="preserve">it is </w:t>
      </w:r>
      <w:r>
        <w:t xml:space="preserve">known that not all agencies providing treatment </w:t>
      </w:r>
      <w:r w:rsidR="00FB5CF4">
        <w:t xml:space="preserve">were </w:t>
      </w:r>
      <w:r>
        <w:t>using NDTMS at this time. Based on agency reports made directly to the Local Authority</w:t>
      </w:r>
      <w:r w:rsidR="00FB5CF4">
        <w:t>,</w:t>
      </w:r>
      <w:r>
        <w:t xml:space="preserve"> with possible small overlap of clients taken into consideration. </w:t>
      </w:r>
    </w:p>
  </w:footnote>
  <w:footnote w:id="3">
    <w:p w:rsidR="000B1144" w:rsidRDefault="000B1144" w:rsidP="000B1144">
      <w:pPr>
        <w:pStyle w:val="FootnoteText"/>
      </w:pPr>
      <w:r>
        <w:rPr>
          <w:rStyle w:val="FootnoteReference"/>
        </w:rPr>
        <w:footnoteRef/>
      </w:r>
      <w:r>
        <w:t xml:space="preserve"> This record was supplemented by examining agency records as NDTMS record did not provide breakdown of under 12’s.</w:t>
      </w:r>
    </w:p>
  </w:footnote>
  <w:footnote w:id="4">
    <w:p w:rsidR="000B1144" w:rsidRDefault="000B1144" w:rsidP="000B1144">
      <w:pPr>
        <w:pStyle w:val="FootnoteText"/>
      </w:pPr>
      <w:r>
        <w:rPr>
          <w:rStyle w:val="FootnoteReference"/>
        </w:rPr>
        <w:footnoteRef/>
      </w:r>
      <w:r>
        <w:t xml:space="preserve"> The 2013-14 NDTMS report did not differentiate clients between the ages of 13-14. Hence, a combined figure has been included for this age group.</w:t>
      </w:r>
    </w:p>
    <w:p w:rsidR="000B1144" w:rsidRPr="00D36A31" w:rsidRDefault="000B1144" w:rsidP="000B1144">
      <w:pPr>
        <w:pStyle w:val="FootnoteText"/>
      </w:pPr>
      <w:r>
        <w:rPr>
          <w:vertAlign w:val="superscript"/>
        </w:rPr>
        <w:t xml:space="preserve">5 </w:t>
      </w:r>
      <w:r w:rsidRPr="00D36A31">
        <w:t>Due to unprecedented national downtime of the NDTMS system,</w:t>
      </w:r>
      <w:r>
        <w:rPr>
          <w:vertAlign w:val="superscript"/>
        </w:rPr>
        <w:t xml:space="preserve"> </w:t>
      </w:r>
      <w:r>
        <w:t>2014-15 data is currently only available based on local data directly from the provider.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44"/>
    <w:rsid w:val="000B1144"/>
    <w:rsid w:val="001B12CA"/>
    <w:rsid w:val="001D72B2"/>
    <w:rsid w:val="002C4FE5"/>
    <w:rsid w:val="00384D03"/>
    <w:rsid w:val="008E3027"/>
    <w:rsid w:val="008F3C5A"/>
    <w:rsid w:val="00B650FA"/>
    <w:rsid w:val="00BB56C7"/>
    <w:rsid w:val="00D45B24"/>
    <w:rsid w:val="00FB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1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144"/>
    <w:rPr>
      <w:sz w:val="20"/>
      <w:szCs w:val="20"/>
    </w:rPr>
  </w:style>
  <w:style w:type="character" w:styleId="FootnoteReference">
    <w:name w:val="footnote reference"/>
    <w:basedOn w:val="DefaultParagraphFont"/>
    <w:uiPriority w:val="99"/>
    <w:semiHidden/>
    <w:unhideWhenUsed/>
    <w:rsid w:val="000B1144"/>
    <w:rPr>
      <w:vertAlign w:val="superscript"/>
    </w:rPr>
  </w:style>
  <w:style w:type="paragraph" w:styleId="Header">
    <w:name w:val="header"/>
    <w:basedOn w:val="Normal"/>
    <w:link w:val="HeaderChar"/>
    <w:uiPriority w:val="99"/>
    <w:unhideWhenUsed/>
    <w:rsid w:val="001D7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B2"/>
  </w:style>
  <w:style w:type="paragraph" w:styleId="Footer">
    <w:name w:val="footer"/>
    <w:basedOn w:val="Normal"/>
    <w:link w:val="FooterChar"/>
    <w:uiPriority w:val="99"/>
    <w:unhideWhenUsed/>
    <w:rsid w:val="001D7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1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144"/>
    <w:rPr>
      <w:sz w:val="20"/>
      <w:szCs w:val="20"/>
    </w:rPr>
  </w:style>
  <w:style w:type="character" w:styleId="FootnoteReference">
    <w:name w:val="footnote reference"/>
    <w:basedOn w:val="DefaultParagraphFont"/>
    <w:uiPriority w:val="99"/>
    <w:semiHidden/>
    <w:unhideWhenUsed/>
    <w:rsid w:val="000B1144"/>
    <w:rPr>
      <w:vertAlign w:val="superscript"/>
    </w:rPr>
  </w:style>
  <w:style w:type="paragraph" w:styleId="Header">
    <w:name w:val="header"/>
    <w:basedOn w:val="Normal"/>
    <w:link w:val="HeaderChar"/>
    <w:uiPriority w:val="99"/>
    <w:unhideWhenUsed/>
    <w:rsid w:val="001D7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B2"/>
  </w:style>
  <w:style w:type="paragraph" w:styleId="Footer">
    <w:name w:val="footer"/>
    <w:basedOn w:val="Normal"/>
    <w:link w:val="FooterChar"/>
    <w:uiPriority w:val="99"/>
    <w:unhideWhenUsed/>
    <w:rsid w:val="001D7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Bowler</dc:creator>
  <cp:lastModifiedBy>Helen Bowler</cp:lastModifiedBy>
  <cp:revision>2</cp:revision>
  <dcterms:created xsi:type="dcterms:W3CDTF">2015-04-17T08:09:00Z</dcterms:created>
  <dcterms:modified xsi:type="dcterms:W3CDTF">2015-04-17T08:09:00Z</dcterms:modified>
</cp:coreProperties>
</file>