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D1" w:rsidRPr="00AB5CD1" w:rsidRDefault="00AB5CD1" w:rsidP="001F1DB9">
      <w:pPr>
        <w:spacing w:after="0" w:line="240" w:lineRule="auto"/>
        <w:rPr>
          <w:rFonts w:ascii="Arial" w:hAnsi="Arial" w:cs="Arial"/>
          <w:sz w:val="24"/>
          <w:szCs w:val="24"/>
        </w:rPr>
      </w:pPr>
      <w:bookmarkStart w:id="0" w:name="_GoBack"/>
      <w:bookmarkEnd w:id="0"/>
      <w:r w:rsidRPr="00AB5CD1">
        <w:rPr>
          <w:rFonts w:ascii="Arial" w:hAnsi="Arial" w:cs="Arial"/>
          <w:sz w:val="24"/>
          <w:szCs w:val="24"/>
        </w:rPr>
        <w:tab/>
      </w:r>
    </w:p>
    <w:p w:rsidR="00AB5CD1" w:rsidRPr="00AB5CD1" w:rsidRDefault="00AB5CD1" w:rsidP="00AB5CD1">
      <w:pPr>
        <w:spacing w:after="0" w:line="240" w:lineRule="auto"/>
        <w:ind w:firstLine="720"/>
        <w:rPr>
          <w:rFonts w:ascii="Arial" w:hAnsi="Arial" w:cs="Arial"/>
          <w:sz w:val="24"/>
          <w:szCs w:val="24"/>
        </w:rPr>
      </w:pPr>
    </w:p>
    <w:p w:rsidR="0045752A" w:rsidRPr="00AB5CD1" w:rsidRDefault="0045752A" w:rsidP="00AB5CD1">
      <w:pPr>
        <w:pStyle w:val="Title"/>
        <w:pBdr>
          <w:bottom w:val="none" w:sz="0" w:space="0" w:color="auto"/>
        </w:pBdr>
        <w:spacing w:after="0"/>
        <w:rPr>
          <w:rStyle w:val="SubtleEmphasis"/>
          <w:rFonts w:ascii="Arial" w:hAnsi="Arial" w:cs="Arial"/>
          <w:i w:val="0"/>
          <w:sz w:val="24"/>
          <w:szCs w:val="24"/>
        </w:rPr>
      </w:pPr>
    </w:p>
    <w:p w:rsidR="0045752A" w:rsidRPr="00AB5CD1" w:rsidRDefault="0045752A" w:rsidP="00575511">
      <w:pPr>
        <w:pStyle w:val="Title"/>
        <w:pBdr>
          <w:bottom w:val="none" w:sz="0" w:space="0" w:color="auto"/>
        </w:pBdr>
        <w:rPr>
          <w:rStyle w:val="SubtleEmphasis"/>
          <w:rFonts w:ascii="Arial" w:hAnsi="Arial" w:cs="Arial"/>
          <w:i w:val="0"/>
          <w:sz w:val="24"/>
          <w:szCs w:val="24"/>
        </w:rPr>
      </w:pPr>
    </w:p>
    <w:p w:rsidR="0045752A" w:rsidRPr="00AB5CD1" w:rsidRDefault="0045752A" w:rsidP="00575511">
      <w:pPr>
        <w:pStyle w:val="Title"/>
        <w:pBdr>
          <w:bottom w:val="none" w:sz="0" w:space="0" w:color="auto"/>
        </w:pBdr>
        <w:jc w:val="center"/>
        <w:rPr>
          <w:rStyle w:val="SubtleEmphasis"/>
          <w:rFonts w:ascii="Arial" w:hAnsi="Arial" w:cs="Arial"/>
          <w:i w:val="0"/>
          <w:sz w:val="24"/>
          <w:szCs w:val="24"/>
        </w:rPr>
      </w:pPr>
    </w:p>
    <w:p w:rsidR="00AB5CD1" w:rsidRPr="00AB5CD1" w:rsidRDefault="00AB5CD1" w:rsidP="00575511">
      <w:pPr>
        <w:pStyle w:val="Title"/>
        <w:pBdr>
          <w:bottom w:val="none" w:sz="0" w:space="0" w:color="auto"/>
        </w:pBdr>
        <w:ind w:left="-567" w:right="-1180" w:firstLine="567"/>
        <w:jc w:val="center"/>
        <w:rPr>
          <w:rStyle w:val="SubtleEmphasis"/>
          <w:rFonts w:ascii="Arial" w:hAnsi="Arial" w:cs="Arial"/>
          <w:i w:val="0"/>
          <w:sz w:val="24"/>
          <w:szCs w:val="24"/>
        </w:rPr>
        <w:sectPr w:rsidR="00AB5CD1" w:rsidRPr="00AB5CD1" w:rsidSect="00AB5CD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3" w:footer="708" w:gutter="0"/>
          <w:cols w:space="708"/>
          <w:docGrid w:linePitch="360"/>
        </w:sectPr>
      </w:pPr>
    </w:p>
    <w:p w:rsidR="0045752A" w:rsidRDefault="0045752A" w:rsidP="00575511">
      <w:pPr>
        <w:pStyle w:val="Title"/>
        <w:pBdr>
          <w:bottom w:val="none" w:sz="0" w:space="0" w:color="auto"/>
        </w:pBdr>
        <w:ind w:left="-567" w:right="-1180" w:firstLine="567"/>
        <w:jc w:val="center"/>
        <w:rPr>
          <w:rStyle w:val="SubtleEmphasis"/>
          <w:rFonts w:ascii="Arial" w:hAnsi="Arial" w:cs="Arial"/>
          <w:i w:val="0"/>
        </w:rPr>
      </w:pPr>
      <w:r w:rsidRPr="0045752A">
        <w:rPr>
          <w:rStyle w:val="SubtleEmphasis"/>
          <w:rFonts w:ascii="Arial" w:hAnsi="Arial" w:cs="Arial"/>
          <w:i w:val="0"/>
        </w:rPr>
        <w:lastRenderedPageBreak/>
        <w:t>LEICESTER CITY’S</w:t>
      </w:r>
      <w:r w:rsidR="00575511" w:rsidRPr="00575511">
        <w:rPr>
          <w:rStyle w:val="SubtleEmphasis"/>
          <w:rFonts w:ascii="Arial" w:hAnsi="Arial" w:cs="Arial"/>
          <w:i w:val="0"/>
          <w:color w:val="FFFFFF" w:themeColor="background1"/>
        </w:rPr>
        <w:t>……</w:t>
      </w:r>
    </w:p>
    <w:p w:rsidR="00575511"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 xml:space="preserve">PLACEMENT COMMISSIONING </w:t>
      </w:r>
    </w:p>
    <w:p w:rsidR="0045752A"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AND SUFFICIENCY STRATEGY</w:t>
      </w:r>
    </w:p>
    <w:p w:rsidR="0045752A" w:rsidRPr="0045752A" w:rsidRDefault="0045752A" w:rsidP="00575511">
      <w:pPr>
        <w:pStyle w:val="Title"/>
        <w:pBdr>
          <w:bottom w:val="none" w:sz="0" w:space="0" w:color="auto"/>
        </w:pBdr>
        <w:jc w:val="center"/>
        <w:rPr>
          <w:rFonts w:ascii="Arial" w:hAnsi="Arial" w:cs="Arial"/>
          <w:iCs/>
          <w:color w:val="808080" w:themeColor="text1" w:themeTint="7F"/>
        </w:rPr>
      </w:pPr>
      <w:r w:rsidRPr="0045752A">
        <w:rPr>
          <w:rStyle w:val="SubtleEmphasis"/>
          <w:rFonts w:ascii="Arial" w:hAnsi="Arial" w:cs="Arial"/>
          <w:i w:val="0"/>
        </w:rPr>
        <w:t>FOR LOOKED AFTER CHILDREN</w:t>
      </w:r>
    </w:p>
    <w:p w:rsidR="0045752A" w:rsidRPr="0045752A" w:rsidRDefault="00E17FEE" w:rsidP="00575511">
      <w:pPr>
        <w:pStyle w:val="IntenseQuote"/>
        <w:pBdr>
          <w:bottom w:val="none" w:sz="0" w:space="0" w:color="auto"/>
        </w:pBdr>
        <w:jc w:val="center"/>
        <w:rPr>
          <w:rStyle w:val="SubtleEmphasis"/>
          <w:rFonts w:ascii="Arial" w:hAnsi="Arial" w:cs="Arial"/>
          <w:sz w:val="36"/>
          <w:szCs w:val="36"/>
        </w:rPr>
      </w:pPr>
      <w:r>
        <w:rPr>
          <w:rStyle w:val="SubtleEmphasis"/>
          <w:rFonts w:ascii="Arial" w:hAnsi="Arial" w:cs="Arial"/>
          <w:sz w:val="36"/>
          <w:szCs w:val="36"/>
        </w:rPr>
        <w:t xml:space="preserve">NOVEMBER </w:t>
      </w:r>
      <w:r w:rsidRPr="0045752A">
        <w:rPr>
          <w:rStyle w:val="SubtleEmphasis"/>
          <w:rFonts w:ascii="Arial" w:hAnsi="Arial" w:cs="Arial"/>
          <w:sz w:val="36"/>
          <w:szCs w:val="36"/>
        </w:rPr>
        <w:t>201</w:t>
      </w:r>
      <w:r>
        <w:rPr>
          <w:rStyle w:val="SubtleEmphasis"/>
          <w:rFonts w:ascii="Arial" w:hAnsi="Arial" w:cs="Arial"/>
          <w:sz w:val="36"/>
          <w:szCs w:val="36"/>
        </w:rPr>
        <w:t>3</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 xml:space="preserve">to </w:t>
      </w:r>
      <w:r>
        <w:rPr>
          <w:rStyle w:val="SubtleEmphasis"/>
          <w:rFonts w:ascii="Arial" w:hAnsi="Arial" w:cs="Arial"/>
          <w:sz w:val="36"/>
          <w:szCs w:val="36"/>
        </w:rPr>
        <w:t>NOVEMBER</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201</w:t>
      </w:r>
      <w:r>
        <w:rPr>
          <w:rStyle w:val="SubtleEmphasis"/>
          <w:rFonts w:ascii="Arial" w:hAnsi="Arial" w:cs="Arial"/>
          <w:sz w:val="36"/>
          <w:szCs w:val="36"/>
        </w:rPr>
        <w:t>5</w:t>
      </w:r>
      <w:r w:rsidR="0045752A">
        <w:rPr>
          <w:rStyle w:val="SubtleEmphasis"/>
          <w:rFonts w:ascii="Arial" w:hAnsi="Arial" w:cs="Arial"/>
          <w:sz w:val="36"/>
          <w:szCs w:val="36"/>
        </w:rPr>
        <w:t xml:space="preserve">                         </w:t>
      </w:r>
    </w:p>
    <w:p w:rsidR="0045752A" w:rsidRPr="0045752A" w:rsidRDefault="0045752A" w:rsidP="0045752A">
      <w:pPr>
        <w:rPr>
          <w:rFonts w:ascii="Arial" w:hAnsi="Arial" w:cs="Arial"/>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000307" w:rsidRDefault="00000307" w:rsidP="0045752A">
      <w:pPr>
        <w:rPr>
          <w:rStyle w:val="SubtleEmphasis"/>
          <w:rFonts w:ascii="Arial" w:eastAsiaTheme="majorEastAsia" w:hAnsi="Arial" w:cs="Arial"/>
          <w:i w:val="0"/>
          <w:spacing w:val="5"/>
          <w:kern w:val="28"/>
          <w:sz w:val="52"/>
          <w:szCs w:val="52"/>
        </w:rPr>
      </w:pPr>
    </w:p>
    <w:p w:rsidR="00000307" w:rsidRDefault="00000307" w:rsidP="00000307">
      <w:pPr>
        <w:pStyle w:val="Title"/>
        <w:pBdr>
          <w:bottom w:val="none" w:sz="0" w:space="0" w:color="auto"/>
        </w:pBdr>
        <w:rPr>
          <w:rStyle w:val="SubtleEmphasis"/>
          <w:rFonts w:ascii="Arial" w:hAnsi="Arial" w:cs="Arial"/>
          <w:i w:val="0"/>
        </w:rPr>
      </w:pPr>
    </w:p>
    <w:tbl>
      <w:tblPr>
        <w:tblStyle w:val="TableGrid"/>
        <w:tblpPr w:leftFromText="180" w:rightFromText="180" w:vertAnchor="text" w:horzAnchor="margin" w:tblpY="-38"/>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623"/>
        <w:gridCol w:w="1276"/>
      </w:tblGrid>
      <w:tr w:rsidR="00F31217" w:rsidTr="0048165D">
        <w:tc>
          <w:tcPr>
            <w:tcW w:w="534" w:type="dxa"/>
          </w:tcPr>
          <w:p w:rsidR="00F31217" w:rsidRDefault="00F31217" w:rsidP="00F31217">
            <w:pPr>
              <w:tabs>
                <w:tab w:val="left" w:pos="284"/>
                <w:tab w:val="left" w:pos="851"/>
              </w:tabs>
              <w:rPr>
                <w:rFonts w:cs="Arial"/>
              </w:rPr>
            </w:pPr>
          </w:p>
        </w:tc>
        <w:tc>
          <w:tcPr>
            <w:tcW w:w="11623" w:type="dxa"/>
          </w:tcPr>
          <w:p w:rsidR="00F31217" w:rsidRDefault="00F31217" w:rsidP="00F31217">
            <w:pPr>
              <w:tabs>
                <w:tab w:val="left" w:pos="284"/>
                <w:tab w:val="left" w:pos="851"/>
              </w:tabs>
              <w:rPr>
                <w:rStyle w:val="SubtleEmphasis"/>
                <w:sz w:val="32"/>
                <w:szCs w:val="32"/>
              </w:rPr>
            </w:pPr>
            <w:r w:rsidRPr="00000307">
              <w:rPr>
                <w:rStyle w:val="SubtleEmphasis"/>
                <w:sz w:val="32"/>
                <w:szCs w:val="32"/>
              </w:rPr>
              <w:t>CONTENTS</w:t>
            </w:r>
          </w:p>
          <w:p w:rsidR="0048165D" w:rsidRPr="00067D9E" w:rsidRDefault="0048165D" w:rsidP="00F31217">
            <w:pPr>
              <w:tabs>
                <w:tab w:val="left" w:pos="284"/>
                <w:tab w:val="left" w:pos="851"/>
              </w:tabs>
              <w:rPr>
                <w:rFonts w:cs="Arial"/>
              </w:rPr>
            </w:pPr>
          </w:p>
        </w:tc>
        <w:tc>
          <w:tcPr>
            <w:tcW w:w="1276" w:type="dxa"/>
          </w:tcPr>
          <w:p w:rsidR="00F31217" w:rsidRDefault="00F31217" w:rsidP="0048165D">
            <w:pPr>
              <w:tabs>
                <w:tab w:val="left" w:pos="284"/>
                <w:tab w:val="left" w:pos="851"/>
              </w:tabs>
              <w:rPr>
                <w:rFonts w:cs="Arial"/>
              </w:rPr>
            </w:pPr>
          </w:p>
        </w:tc>
      </w:tr>
      <w:tr w:rsidR="0048165D" w:rsidTr="0048165D">
        <w:tc>
          <w:tcPr>
            <w:tcW w:w="534" w:type="dxa"/>
          </w:tcPr>
          <w:p w:rsidR="00F31217" w:rsidRDefault="00F31217" w:rsidP="00F31217">
            <w:pPr>
              <w:tabs>
                <w:tab w:val="left" w:pos="284"/>
                <w:tab w:val="left" w:pos="851"/>
              </w:tabs>
              <w:rPr>
                <w:rFonts w:cs="Arial"/>
              </w:rPr>
            </w:pPr>
            <w:r>
              <w:rPr>
                <w:rFonts w:cs="Arial"/>
              </w:rPr>
              <w:t>1.</w:t>
            </w:r>
          </w:p>
        </w:tc>
        <w:tc>
          <w:tcPr>
            <w:tcW w:w="11623" w:type="dxa"/>
          </w:tcPr>
          <w:p w:rsidR="00F31217" w:rsidRDefault="00F31217" w:rsidP="00F31217">
            <w:pPr>
              <w:tabs>
                <w:tab w:val="left" w:pos="284"/>
                <w:tab w:val="left" w:pos="851"/>
              </w:tabs>
              <w:rPr>
                <w:rFonts w:cs="Arial"/>
              </w:rPr>
            </w:pPr>
            <w:r w:rsidRPr="00067D9E">
              <w:rPr>
                <w:rFonts w:cs="Arial"/>
              </w:rPr>
              <w:t>Introduction</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7-9</w:t>
            </w:r>
          </w:p>
        </w:tc>
      </w:tr>
      <w:tr w:rsidR="0048165D" w:rsidTr="0048165D">
        <w:tc>
          <w:tcPr>
            <w:tcW w:w="534" w:type="dxa"/>
          </w:tcPr>
          <w:p w:rsidR="00F31217" w:rsidRDefault="00F31217" w:rsidP="00F31217">
            <w:pPr>
              <w:tabs>
                <w:tab w:val="left" w:pos="284"/>
                <w:tab w:val="left" w:pos="851"/>
              </w:tabs>
              <w:rPr>
                <w:rFonts w:cs="Arial"/>
              </w:rPr>
            </w:pPr>
            <w:r>
              <w:rPr>
                <w:rFonts w:cs="Arial"/>
              </w:rPr>
              <w:t>2.</w:t>
            </w:r>
          </w:p>
        </w:tc>
        <w:tc>
          <w:tcPr>
            <w:tcW w:w="11623" w:type="dxa"/>
          </w:tcPr>
          <w:p w:rsidR="00F31217" w:rsidRDefault="00F31217" w:rsidP="00F31217">
            <w:pPr>
              <w:tabs>
                <w:tab w:val="left" w:pos="284"/>
                <w:tab w:val="left" w:pos="851"/>
              </w:tabs>
              <w:rPr>
                <w:rFonts w:cs="Arial"/>
              </w:rPr>
            </w:pPr>
            <w:r w:rsidRPr="00067D9E">
              <w:rPr>
                <w:rFonts w:cs="Arial"/>
              </w:rPr>
              <w:t>Commissioning Priorities</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10-21</w:t>
            </w:r>
          </w:p>
        </w:tc>
      </w:tr>
      <w:tr w:rsidR="0048165D" w:rsidTr="0048165D">
        <w:tc>
          <w:tcPr>
            <w:tcW w:w="534" w:type="dxa"/>
          </w:tcPr>
          <w:p w:rsidR="00F31217" w:rsidRDefault="00F31217" w:rsidP="00F31217">
            <w:pPr>
              <w:tabs>
                <w:tab w:val="left" w:pos="284"/>
                <w:tab w:val="left" w:pos="851"/>
              </w:tabs>
              <w:rPr>
                <w:rFonts w:cs="Arial"/>
              </w:rPr>
            </w:pPr>
            <w:r>
              <w:rPr>
                <w:rFonts w:cs="Arial"/>
              </w:rPr>
              <w:t>3.</w:t>
            </w:r>
          </w:p>
        </w:tc>
        <w:tc>
          <w:tcPr>
            <w:tcW w:w="11623" w:type="dxa"/>
          </w:tcPr>
          <w:p w:rsidR="00F31217" w:rsidRDefault="00F31217" w:rsidP="00F31217">
            <w:pPr>
              <w:tabs>
                <w:tab w:val="left" w:pos="284"/>
                <w:tab w:val="left" w:pos="851"/>
              </w:tabs>
              <w:rPr>
                <w:rFonts w:cs="Arial"/>
              </w:rPr>
            </w:pPr>
            <w:r w:rsidRPr="00067D9E">
              <w:rPr>
                <w:rFonts w:cs="Arial"/>
              </w:rPr>
              <w:t xml:space="preserve">Appendix 1 </w:t>
            </w:r>
            <w:r>
              <w:rPr>
                <w:rFonts w:cs="Arial"/>
              </w:rPr>
              <w:t>–</w:t>
            </w:r>
            <w:r w:rsidRPr="00067D9E">
              <w:rPr>
                <w:rFonts w:cs="Arial"/>
              </w:rPr>
              <w:t xml:space="preserve"> Vision</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23</w:t>
            </w:r>
          </w:p>
        </w:tc>
      </w:tr>
      <w:tr w:rsidR="0048165D" w:rsidTr="0048165D">
        <w:tc>
          <w:tcPr>
            <w:tcW w:w="534" w:type="dxa"/>
          </w:tcPr>
          <w:p w:rsidR="00F31217" w:rsidRDefault="00F31217" w:rsidP="00F31217">
            <w:pPr>
              <w:tabs>
                <w:tab w:val="left" w:pos="284"/>
                <w:tab w:val="left" w:pos="851"/>
              </w:tabs>
              <w:rPr>
                <w:rFonts w:cs="Arial"/>
              </w:rPr>
            </w:pPr>
            <w:r>
              <w:rPr>
                <w:rFonts w:cs="Arial"/>
              </w:rPr>
              <w:t>4.</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Fonts w:cs="Arial"/>
              </w:rPr>
              <w:t xml:space="preserve">Appendix 2 </w:t>
            </w:r>
            <w:r>
              <w:rPr>
                <w:rFonts w:cs="Arial"/>
              </w:rPr>
              <w:t>–</w:t>
            </w:r>
            <w:r w:rsidRPr="00067D9E">
              <w:rPr>
                <w:rFonts w:cs="Arial"/>
              </w:rPr>
              <w:t xml:space="preserve"> </w:t>
            </w:r>
            <w:r>
              <w:rPr>
                <w:rFonts w:cs="Arial"/>
              </w:rPr>
              <w:t xml:space="preserve">Strategic </w:t>
            </w:r>
            <w:r w:rsidRPr="00067D9E">
              <w:rPr>
                <w:rFonts w:cs="Arial"/>
              </w:rPr>
              <w:t xml:space="preserve">Objectives </w:t>
            </w:r>
          </w:p>
        </w:tc>
        <w:tc>
          <w:tcPr>
            <w:tcW w:w="1276" w:type="dxa"/>
          </w:tcPr>
          <w:p w:rsidR="00F31217" w:rsidRDefault="0048165D" w:rsidP="0048165D">
            <w:pPr>
              <w:tabs>
                <w:tab w:val="left" w:pos="284"/>
                <w:tab w:val="left" w:pos="851"/>
              </w:tabs>
              <w:rPr>
                <w:rFonts w:cs="Arial"/>
              </w:rPr>
            </w:pPr>
            <w:r>
              <w:rPr>
                <w:rFonts w:cs="Arial"/>
              </w:rPr>
              <w:t>Page 24</w:t>
            </w:r>
          </w:p>
        </w:tc>
      </w:tr>
      <w:tr w:rsidR="0048165D" w:rsidTr="0048165D">
        <w:tc>
          <w:tcPr>
            <w:tcW w:w="534" w:type="dxa"/>
          </w:tcPr>
          <w:p w:rsidR="00F31217" w:rsidRDefault="00F31217" w:rsidP="00F31217">
            <w:pPr>
              <w:tabs>
                <w:tab w:val="left" w:pos="284"/>
                <w:tab w:val="left" w:pos="851"/>
              </w:tabs>
              <w:rPr>
                <w:rFonts w:cs="Arial"/>
              </w:rPr>
            </w:pPr>
            <w:r>
              <w:rPr>
                <w:rFonts w:cs="Arial"/>
              </w:rPr>
              <w:t>5.</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rFonts w:cs="Arial"/>
                <w:i w:val="0"/>
                <w:color w:val="auto"/>
              </w:rPr>
              <w:t>Appendix 3 - Policy Commitments</w:t>
            </w:r>
          </w:p>
        </w:tc>
        <w:tc>
          <w:tcPr>
            <w:tcW w:w="1276" w:type="dxa"/>
          </w:tcPr>
          <w:p w:rsidR="00F31217" w:rsidRDefault="0048165D" w:rsidP="0048165D">
            <w:pPr>
              <w:tabs>
                <w:tab w:val="left" w:pos="284"/>
                <w:tab w:val="left" w:pos="851"/>
              </w:tabs>
              <w:rPr>
                <w:rFonts w:cs="Arial"/>
              </w:rPr>
            </w:pPr>
            <w:r>
              <w:rPr>
                <w:rFonts w:cs="Arial"/>
              </w:rPr>
              <w:t>Page 24</w:t>
            </w:r>
          </w:p>
        </w:tc>
      </w:tr>
      <w:tr w:rsidR="0048165D" w:rsidTr="0048165D">
        <w:tc>
          <w:tcPr>
            <w:tcW w:w="534" w:type="dxa"/>
          </w:tcPr>
          <w:p w:rsidR="00F31217" w:rsidRDefault="00F31217" w:rsidP="00F31217">
            <w:pPr>
              <w:tabs>
                <w:tab w:val="left" w:pos="284"/>
                <w:tab w:val="left" w:pos="851"/>
              </w:tabs>
              <w:rPr>
                <w:rFonts w:cs="Arial"/>
              </w:rPr>
            </w:pPr>
            <w:r>
              <w:rPr>
                <w:rFonts w:cs="Arial"/>
              </w:rPr>
              <w:t>6.</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rFonts w:cs="Arial"/>
                <w:color w:val="auto"/>
              </w:rPr>
              <w:t>Appendix 4 - The principles that govern the Strategy</w:t>
            </w:r>
          </w:p>
        </w:tc>
        <w:tc>
          <w:tcPr>
            <w:tcW w:w="1276" w:type="dxa"/>
          </w:tcPr>
          <w:p w:rsidR="00F31217" w:rsidRDefault="0048165D" w:rsidP="0048165D">
            <w:pPr>
              <w:tabs>
                <w:tab w:val="left" w:pos="284"/>
                <w:tab w:val="left" w:pos="851"/>
              </w:tabs>
              <w:rPr>
                <w:rFonts w:cs="Arial"/>
              </w:rPr>
            </w:pPr>
            <w:r>
              <w:rPr>
                <w:rFonts w:cs="Arial"/>
              </w:rPr>
              <w:t>Page 24-25</w:t>
            </w:r>
          </w:p>
        </w:tc>
      </w:tr>
      <w:tr w:rsidR="0048165D" w:rsidTr="0048165D">
        <w:tc>
          <w:tcPr>
            <w:tcW w:w="534" w:type="dxa"/>
          </w:tcPr>
          <w:p w:rsidR="00F31217" w:rsidRDefault="00F31217" w:rsidP="00F31217">
            <w:pPr>
              <w:tabs>
                <w:tab w:val="left" w:pos="284"/>
                <w:tab w:val="left" w:pos="851"/>
              </w:tabs>
              <w:rPr>
                <w:rFonts w:cs="Arial"/>
              </w:rPr>
            </w:pPr>
            <w:r>
              <w:rPr>
                <w:rFonts w:cs="Arial"/>
              </w:rPr>
              <w:t>7.</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Appendix 5 - The Sufficiency duty</w:t>
            </w:r>
          </w:p>
        </w:tc>
        <w:tc>
          <w:tcPr>
            <w:tcW w:w="1276" w:type="dxa"/>
          </w:tcPr>
          <w:p w:rsidR="00F31217" w:rsidRDefault="0048165D" w:rsidP="0048165D">
            <w:pPr>
              <w:tabs>
                <w:tab w:val="left" w:pos="284"/>
                <w:tab w:val="left" w:pos="851"/>
              </w:tabs>
              <w:rPr>
                <w:rFonts w:cs="Arial"/>
              </w:rPr>
            </w:pPr>
            <w:r>
              <w:rPr>
                <w:rFonts w:cs="Arial"/>
              </w:rPr>
              <w:t>Page 25-26</w:t>
            </w:r>
          </w:p>
        </w:tc>
      </w:tr>
      <w:tr w:rsidR="0048165D" w:rsidTr="0048165D">
        <w:tc>
          <w:tcPr>
            <w:tcW w:w="534" w:type="dxa"/>
          </w:tcPr>
          <w:p w:rsidR="00F31217" w:rsidRDefault="00F31217" w:rsidP="00F31217">
            <w:pPr>
              <w:tabs>
                <w:tab w:val="left" w:pos="284"/>
                <w:tab w:val="left" w:pos="851"/>
              </w:tabs>
              <w:rPr>
                <w:rFonts w:cs="Arial"/>
              </w:rPr>
            </w:pPr>
            <w:r>
              <w:rPr>
                <w:rFonts w:cs="Arial"/>
              </w:rPr>
              <w:t>8.</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i w:val="0"/>
                <w:color w:val="auto"/>
              </w:rPr>
              <w:t xml:space="preserve">Appendix 6 – </w:t>
            </w:r>
            <w:r w:rsidRPr="00067D9E">
              <w:rPr>
                <w:rStyle w:val="SubtleEmphasis"/>
                <w:rFonts w:cs="Arial"/>
                <w:i w:val="0"/>
                <w:color w:val="auto"/>
              </w:rPr>
              <w:t>Existing Provision</w:t>
            </w:r>
          </w:p>
        </w:tc>
        <w:tc>
          <w:tcPr>
            <w:tcW w:w="1276" w:type="dxa"/>
          </w:tcPr>
          <w:p w:rsidR="00F31217" w:rsidRDefault="0048165D" w:rsidP="0048165D">
            <w:pPr>
              <w:tabs>
                <w:tab w:val="left" w:pos="284"/>
                <w:tab w:val="left" w:pos="851"/>
              </w:tabs>
              <w:rPr>
                <w:rFonts w:cs="Arial"/>
              </w:rPr>
            </w:pPr>
            <w:r>
              <w:rPr>
                <w:rFonts w:cs="Arial"/>
              </w:rPr>
              <w:t>Page 27-28</w:t>
            </w:r>
          </w:p>
        </w:tc>
      </w:tr>
      <w:tr w:rsidR="0048165D" w:rsidTr="0048165D">
        <w:tc>
          <w:tcPr>
            <w:tcW w:w="534" w:type="dxa"/>
          </w:tcPr>
          <w:p w:rsidR="00F31217" w:rsidRDefault="00F31217" w:rsidP="00F31217">
            <w:pPr>
              <w:tabs>
                <w:tab w:val="left" w:pos="284"/>
                <w:tab w:val="left" w:pos="851"/>
              </w:tabs>
              <w:rPr>
                <w:rFonts w:cs="Arial"/>
              </w:rPr>
            </w:pPr>
            <w:r>
              <w:rPr>
                <w:rFonts w:cs="Arial"/>
              </w:rPr>
              <w:t>9.</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 xml:space="preserve">Appendix 7 – Data that informs the Commissioning strategy priorities </w:t>
            </w:r>
          </w:p>
        </w:tc>
        <w:tc>
          <w:tcPr>
            <w:tcW w:w="1276" w:type="dxa"/>
          </w:tcPr>
          <w:p w:rsidR="00F31217" w:rsidRDefault="0048165D" w:rsidP="0048165D">
            <w:pPr>
              <w:tabs>
                <w:tab w:val="left" w:pos="284"/>
                <w:tab w:val="left" w:pos="851"/>
              </w:tabs>
              <w:rPr>
                <w:rFonts w:cs="Arial"/>
              </w:rPr>
            </w:pPr>
            <w:r>
              <w:rPr>
                <w:rFonts w:cs="Arial"/>
              </w:rPr>
              <w:t>Page 28</w:t>
            </w:r>
          </w:p>
        </w:tc>
      </w:tr>
      <w:tr w:rsidR="0048165D" w:rsidTr="0048165D">
        <w:tc>
          <w:tcPr>
            <w:tcW w:w="534" w:type="dxa"/>
          </w:tcPr>
          <w:p w:rsidR="00F31217" w:rsidRDefault="00F31217" w:rsidP="00F31217">
            <w:pPr>
              <w:tabs>
                <w:tab w:val="left" w:pos="284"/>
                <w:tab w:val="left" w:pos="851"/>
              </w:tabs>
              <w:rPr>
                <w:rFonts w:cs="Arial"/>
              </w:rPr>
            </w:pPr>
            <w:r>
              <w:rPr>
                <w:rFonts w:cs="Arial"/>
              </w:rPr>
              <w:t>10.</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Appendix 8 – Commissioning priorities</w:t>
            </w:r>
          </w:p>
        </w:tc>
        <w:tc>
          <w:tcPr>
            <w:tcW w:w="1276" w:type="dxa"/>
          </w:tcPr>
          <w:p w:rsidR="00F31217" w:rsidRDefault="0048165D" w:rsidP="0048165D">
            <w:pPr>
              <w:tabs>
                <w:tab w:val="left" w:pos="284"/>
                <w:tab w:val="left" w:pos="851"/>
              </w:tabs>
              <w:rPr>
                <w:rFonts w:cs="Arial"/>
              </w:rPr>
            </w:pPr>
            <w:r>
              <w:rPr>
                <w:rFonts w:cs="Arial"/>
              </w:rPr>
              <w:t>Page 28-29</w:t>
            </w:r>
          </w:p>
        </w:tc>
      </w:tr>
      <w:tr w:rsidR="0048165D" w:rsidTr="0048165D">
        <w:tc>
          <w:tcPr>
            <w:tcW w:w="534" w:type="dxa"/>
          </w:tcPr>
          <w:p w:rsidR="00F31217" w:rsidRDefault="00F31217" w:rsidP="00F31217">
            <w:pPr>
              <w:tabs>
                <w:tab w:val="left" w:pos="284"/>
                <w:tab w:val="left" w:pos="851"/>
              </w:tabs>
              <w:rPr>
                <w:rFonts w:cs="Arial"/>
              </w:rPr>
            </w:pPr>
            <w:r>
              <w:rPr>
                <w:rFonts w:cs="Arial"/>
              </w:rPr>
              <w:t>11.</w:t>
            </w:r>
          </w:p>
        </w:tc>
        <w:tc>
          <w:tcPr>
            <w:tcW w:w="11623" w:type="dxa"/>
          </w:tcPr>
          <w:p w:rsidR="00F31217" w:rsidRPr="00CF31A5" w:rsidRDefault="00F31217" w:rsidP="00F31217">
            <w:pPr>
              <w:tabs>
                <w:tab w:val="left" w:pos="284"/>
                <w:tab w:val="left" w:pos="851"/>
              </w:tabs>
            </w:pPr>
            <w:r w:rsidRPr="00FE478A">
              <w:t>Appendix 9 – Key points</w:t>
            </w:r>
          </w:p>
        </w:tc>
        <w:tc>
          <w:tcPr>
            <w:tcW w:w="1276" w:type="dxa"/>
          </w:tcPr>
          <w:p w:rsidR="00F31217" w:rsidRDefault="0048165D" w:rsidP="0048165D">
            <w:pPr>
              <w:tabs>
                <w:tab w:val="left" w:pos="284"/>
                <w:tab w:val="left" w:pos="851"/>
              </w:tabs>
              <w:rPr>
                <w:rFonts w:cs="Arial"/>
              </w:rPr>
            </w:pPr>
            <w:r>
              <w:rPr>
                <w:rFonts w:cs="Arial"/>
              </w:rPr>
              <w:t>Page 30</w:t>
            </w:r>
          </w:p>
        </w:tc>
      </w:tr>
      <w:tr w:rsidR="0048165D" w:rsidTr="0048165D">
        <w:tc>
          <w:tcPr>
            <w:tcW w:w="534" w:type="dxa"/>
          </w:tcPr>
          <w:p w:rsidR="00F31217" w:rsidRDefault="00F31217" w:rsidP="00F31217">
            <w:pPr>
              <w:tabs>
                <w:tab w:val="left" w:pos="284"/>
                <w:tab w:val="left" w:pos="851"/>
              </w:tabs>
              <w:rPr>
                <w:rFonts w:cs="Arial"/>
              </w:rPr>
            </w:pPr>
          </w:p>
        </w:tc>
        <w:tc>
          <w:tcPr>
            <w:tcW w:w="11623" w:type="dxa"/>
          </w:tcPr>
          <w:p w:rsidR="00F31217" w:rsidRDefault="00F31217" w:rsidP="00F31217">
            <w:pPr>
              <w:tabs>
                <w:tab w:val="left" w:pos="284"/>
                <w:tab w:val="left" w:pos="851"/>
              </w:tabs>
            </w:pPr>
            <w:r w:rsidRPr="00FE478A">
              <w:tab/>
              <w:t>- Table 1</w:t>
            </w:r>
            <w:r w:rsidRPr="00FE478A">
              <w:br/>
            </w:r>
            <w:r w:rsidRPr="00FE478A">
              <w:tab/>
              <w:t>- Table 2</w:t>
            </w:r>
            <w:r w:rsidRPr="00FE478A">
              <w:br/>
            </w:r>
            <w:r w:rsidRPr="00FE478A">
              <w:tab/>
              <w:t>- Table 3</w:t>
            </w:r>
            <w:r w:rsidRPr="00FE478A">
              <w:br/>
            </w:r>
            <w:r w:rsidRPr="00FE478A">
              <w:tab/>
              <w:t>- Table 4</w:t>
            </w:r>
            <w:r w:rsidRPr="00FE478A">
              <w:br/>
            </w:r>
            <w:r w:rsidRPr="00FE478A">
              <w:tab/>
              <w:t>- Table 5</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31</w:t>
            </w:r>
          </w:p>
          <w:p w:rsidR="00F31217" w:rsidRDefault="00F31217" w:rsidP="0048165D">
            <w:pPr>
              <w:tabs>
                <w:tab w:val="left" w:pos="284"/>
                <w:tab w:val="left" w:pos="851"/>
              </w:tabs>
              <w:rPr>
                <w:rFonts w:cs="Arial"/>
              </w:rPr>
            </w:pPr>
            <w:r>
              <w:rPr>
                <w:rFonts w:cs="Arial"/>
              </w:rPr>
              <w:t>Page</w:t>
            </w:r>
            <w:r w:rsidR="0048165D">
              <w:rPr>
                <w:rFonts w:cs="Arial"/>
              </w:rPr>
              <w:t xml:space="preserve"> 32</w:t>
            </w:r>
          </w:p>
          <w:p w:rsidR="00F31217" w:rsidRDefault="00F31217" w:rsidP="0048165D">
            <w:pPr>
              <w:tabs>
                <w:tab w:val="left" w:pos="284"/>
                <w:tab w:val="left" w:pos="851"/>
              </w:tabs>
              <w:rPr>
                <w:rFonts w:cs="Arial"/>
              </w:rPr>
            </w:pPr>
            <w:r>
              <w:rPr>
                <w:rFonts w:cs="Arial"/>
              </w:rPr>
              <w:t>Page</w:t>
            </w:r>
            <w:r w:rsidR="0048165D">
              <w:rPr>
                <w:rFonts w:cs="Arial"/>
              </w:rPr>
              <w:t xml:space="preserve"> 33</w:t>
            </w:r>
          </w:p>
          <w:p w:rsidR="00F31217" w:rsidRDefault="00F31217" w:rsidP="0048165D">
            <w:pPr>
              <w:tabs>
                <w:tab w:val="left" w:pos="284"/>
                <w:tab w:val="left" w:pos="851"/>
              </w:tabs>
              <w:rPr>
                <w:rFonts w:cs="Arial"/>
              </w:rPr>
            </w:pPr>
            <w:r>
              <w:rPr>
                <w:rFonts w:cs="Arial"/>
              </w:rPr>
              <w:t>Page</w:t>
            </w:r>
            <w:r w:rsidR="0048165D">
              <w:rPr>
                <w:rFonts w:cs="Arial"/>
              </w:rPr>
              <w:t xml:space="preserve"> 34</w:t>
            </w:r>
          </w:p>
          <w:p w:rsidR="00F31217" w:rsidRDefault="00F31217" w:rsidP="0048165D">
            <w:pPr>
              <w:tabs>
                <w:tab w:val="left" w:pos="284"/>
                <w:tab w:val="left" w:pos="851"/>
              </w:tabs>
              <w:rPr>
                <w:rFonts w:cs="Arial"/>
              </w:rPr>
            </w:pPr>
            <w:r>
              <w:rPr>
                <w:rFonts w:cs="Arial"/>
              </w:rPr>
              <w:t>Page</w:t>
            </w:r>
            <w:r w:rsidR="0048165D">
              <w:rPr>
                <w:rFonts w:cs="Arial"/>
              </w:rPr>
              <w:t xml:space="preserve"> 35</w:t>
            </w:r>
          </w:p>
        </w:tc>
      </w:tr>
      <w:tr w:rsidR="0048165D" w:rsidTr="0048165D">
        <w:tc>
          <w:tcPr>
            <w:tcW w:w="534" w:type="dxa"/>
          </w:tcPr>
          <w:p w:rsidR="00F31217" w:rsidRDefault="00F31217" w:rsidP="00F31217">
            <w:pPr>
              <w:tabs>
                <w:tab w:val="left" w:pos="284"/>
                <w:tab w:val="left" w:pos="851"/>
              </w:tabs>
              <w:rPr>
                <w:rFonts w:cs="Arial"/>
              </w:rPr>
            </w:pPr>
            <w:r>
              <w:rPr>
                <w:rFonts w:cs="Arial"/>
              </w:rPr>
              <w:t>12.</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 xml:space="preserve">Appendix 10 – Childrens Social Care &amp; Safeguarding Commissioning Priorities </w:t>
            </w:r>
          </w:p>
        </w:tc>
        <w:tc>
          <w:tcPr>
            <w:tcW w:w="1276" w:type="dxa"/>
          </w:tcPr>
          <w:p w:rsidR="00F31217" w:rsidRDefault="00F31217" w:rsidP="0048165D">
            <w:pPr>
              <w:tabs>
                <w:tab w:val="left" w:pos="284"/>
                <w:tab w:val="left" w:pos="851"/>
              </w:tabs>
              <w:rPr>
                <w:rFonts w:cs="Arial"/>
              </w:rPr>
            </w:pPr>
            <w:r>
              <w:rPr>
                <w:rFonts w:cs="Arial"/>
              </w:rPr>
              <w:t>Page</w:t>
            </w:r>
            <w:r w:rsidR="0048165D">
              <w:rPr>
                <w:rFonts w:cs="Arial"/>
              </w:rPr>
              <w:t xml:space="preserve"> 36-50</w:t>
            </w:r>
          </w:p>
        </w:tc>
      </w:tr>
    </w:tbl>
    <w:p w:rsidR="006F512E" w:rsidRPr="00000307" w:rsidRDefault="00F31217" w:rsidP="0048165D">
      <w:pPr>
        <w:pStyle w:val="Title"/>
        <w:pBdr>
          <w:bottom w:val="none" w:sz="0" w:space="0" w:color="auto"/>
          <w:bar w:val="single" w:sz="4" w:color="auto"/>
        </w:pBdr>
        <w:rPr>
          <w:color w:val="808080" w:themeColor="text1" w:themeTint="7F"/>
          <w:sz w:val="32"/>
          <w:szCs w:val="32"/>
        </w:rPr>
      </w:pPr>
      <w:r w:rsidRPr="00000307">
        <w:rPr>
          <w:rFonts w:ascii="Arial" w:hAnsi="Arial" w:cs="Arial"/>
          <w:b/>
          <w:iCs/>
          <w:noProof/>
          <w:color w:val="808080" w:themeColor="text1" w:themeTint="7F"/>
          <w:sz w:val="32"/>
          <w:szCs w:val="32"/>
          <w:lang w:eastAsia="en-GB"/>
        </w:rPr>
        <mc:AlternateContent>
          <mc:Choice Requires="wps">
            <w:drawing>
              <wp:anchor distT="0" distB="0" distL="114300" distR="114300" simplePos="0" relativeHeight="251672576" behindDoc="0" locked="0" layoutInCell="1" allowOverlap="1" wp14:anchorId="2E655C96" wp14:editId="019DABF4">
                <wp:simplePos x="0" y="0"/>
                <wp:positionH relativeFrom="column">
                  <wp:posOffset>-7092854</wp:posOffset>
                </wp:positionH>
                <wp:positionV relativeFrom="paragraph">
                  <wp:posOffset>-811530</wp:posOffset>
                </wp:positionV>
                <wp:extent cx="586740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67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0D" w:rsidRDefault="00F31C0D">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8.5pt;margin-top:-63.9pt;width:462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Aq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" filled="f" stroked="f" strokeweight=".5pt">
                <v:textbox>
                  <w:txbxContent>
                    <w:p w:rsidR="00F31C0D" w:rsidRDefault="00F31C0D">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v:textbox>
              </v:shape>
            </w:pict>
          </mc:Fallback>
        </mc:AlternateContent>
      </w:r>
      <w:r w:rsidRPr="00000307">
        <w:rPr>
          <w:rFonts w:ascii="Arial" w:hAnsi="Arial" w:cs="Arial"/>
          <w:b/>
          <w:iCs/>
          <w:noProof/>
          <w:color w:val="808080" w:themeColor="text1" w:themeTint="7F"/>
          <w:sz w:val="32"/>
          <w:szCs w:val="32"/>
          <w:lang w:eastAsia="en-GB"/>
        </w:rPr>
        <w:t xml:space="preserve"> </w:t>
      </w: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F31217" w:rsidRDefault="00F31217" w:rsidP="008366F1">
      <w:pPr>
        <w:rPr>
          <w:rStyle w:val="SubtleEmphasis"/>
          <w:rFonts w:cs="Arial"/>
          <w:b/>
          <w:i w:val="0"/>
          <w:color w:val="auto"/>
          <w:u w:val="single"/>
        </w:rPr>
      </w:pPr>
    </w:p>
    <w:p w:rsidR="00F31217" w:rsidRDefault="00F31217" w:rsidP="008366F1">
      <w:pPr>
        <w:rPr>
          <w:rStyle w:val="SubtleEmphasis"/>
          <w:rFonts w:cs="Arial"/>
          <w:b/>
          <w:i w:val="0"/>
          <w:color w:val="auto"/>
          <w:u w:val="single"/>
        </w:rPr>
      </w:pPr>
    </w:p>
    <w:p w:rsidR="008366F1" w:rsidRPr="00EB3730" w:rsidRDefault="00235A9D" w:rsidP="008366F1">
      <w:pPr>
        <w:rPr>
          <w:rFonts w:cs="Arial"/>
          <w:b/>
          <w:bCs/>
          <w:u w:val="single"/>
        </w:rPr>
      </w:pPr>
      <w:r w:rsidRPr="00235A9D">
        <w:rPr>
          <w:rStyle w:val="SubtleEmphasis"/>
          <w:rFonts w:cs="Arial"/>
          <w:b/>
          <w:i w:val="0"/>
          <w:color w:val="auto"/>
        </w:rPr>
        <w:t xml:space="preserve">1. </w:t>
      </w:r>
      <w:r w:rsidR="008366F1" w:rsidRPr="00CF3475">
        <w:rPr>
          <w:rStyle w:val="SubtleEmphasis"/>
          <w:rFonts w:cs="Arial"/>
          <w:b/>
          <w:i w:val="0"/>
          <w:color w:val="auto"/>
          <w:u w:val="single"/>
        </w:rPr>
        <w:t>Introduction</w:t>
      </w:r>
    </w:p>
    <w:p w:rsidR="009F4E44" w:rsidRPr="00CF3475" w:rsidRDefault="008366F1" w:rsidP="009F4E44">
      <w:pPr>
        <w:shd w:val="clear" w:color="auto" w:fill="FFFFFF"/>
        <w:spacing w:before="90" w:after="105"/>
        <w:ind w:right="-46"/>
        <w:outlineLvl w:val="1"/>
        <w:rPr>
          <w:rFonts w:eastAsia="Times New Roman" w:cs="Arial"/>
          <w:lang w:val="en" w:eastAsia="en-GB"/>
        </w:rPr>
      </w:pPr>
      <w:r w:rsidRPr="00CF3475">
        <w:rPr>
          <w:rFonts w:cs="Arial"/>
        </w:rPr>
        <w:t>The Placement Commissioning Strategy for 20</w:t>
      </w:r>
      <w:r w:rsidR="0086745B" w:rsidRPr="00CF3475">
        <w:rPr>
          <w:rFonts w:cs="Arial"/>
        </w:rPr>
        <w:t>1</w:t>
      </w:r>
      <w:r w:rsidR="001F7DB5" w:rsidRPr="00CF3475">
        <w:rPr>
          <w:rFonts w:cs="Arial"/>
        </w:rPr>
        <w:t>3</w:t>
      </w:r>
      <w:r w:rsidRPr="00CF3475">
        <w:rPr>
          <w:rFonts w:cs="Arial"/>
        </w:rPr>
        <w:t>-201</w:t>
      </w:r>
      <w:r w:rsidR="001F7DB5" w:rsidRPr="00CF3475">
        <w:rPr>
          <w:rFonts w:cs="Arial"/>
        </w:rPr>
        <w:t>5</w:t>
      </w:r>
      <w:r w:rsidRPr="00CF3475">
        <w:rPr>
          <w:rFonts w:cs="Arial"/>
        </w:rPr>
        <w:t xml:space="preserve"> summarises the means by which </w:t>
      </w:r>
      <w:r w:rsidR="001A461D" w:rsidRPr="00CF3475">
        <w:rPr>
          <w:rFonts w:cs="Arial"/>
        </w:rPr>
        <w:t>Education and C</w:t>
      </w:r>
      <w:r w:rsidRPr="00CF3475">
        <w:rPr>
          <w:rFonts w:cs="Arial"/>
        </w:rPr>
        <w:t xml:space="preserve">hildren’s </w:t>
      </w:r>
      <w:r w:rsidR="001A461D" w:rsidRPr="00CF3475">
        <w:rPr>
          <w:rFonts w:cs="Arial"/>
        </w:rPr>
        <w:t>S</w:t>
      </w:r>
      <w:r w:rsidRPr="00CF3475">
        <w:rPr>
          <w:rFonts w:cs="Arial"/>
        </w:rPr>
        <w:t xml:space="preserve">ervices will seek to provide the range and quality </w:t>
      </w:r>
      <w:r w:rsidR="00766895" w:rsidRPr="00CF3475">
        <w:rPr>
          <w:rFonts w:cs="Arial"/>
        </w:rPr>
        <w:t xml:space="preserve">of placements needed to meet the anticipated needs of children and </w:t>
      </w:r>
      <w:r w:rsidR="001F7DB5" w:rsidRPr="00CF3475">
        <w:rPr>
          <w:rFonts w:cs="Arial"/>
        </w:rPr>
        <w:t>young people</w:t>
      </w:r>
      <w:r w:rsidR="00766895" w:rsidRPr="00CF3475">
        <w:rPr>
          <w:rFonts w:cs="Arial"/>
        </w:rPr>
        <w:t xml:space="preserve"> looked after over the next three years. </w:t>
      </w:r>
      <w:r w:rsidR="001A461D" w:rsidRPr="00CF3475">
        <w:rPr>
          <w:rFonts w:eastAsia="Times New Roman" w:cs="Arial"/>
          <w:lang w:eastAsia="en-GB"/>
        </w:rPr>
        <w:t>Since April 2011, there has been a duty on each Local Authority to provide children's services to secure, so far as reasonably practicable, sufficient accommodation within its area to meet the needs of children that it is looking after/proposing to look after</w:t>
      </w:r>
      <w:r w:rsidR="009F4E44" w:rsidRPr="00CF3475">
        <w:rPr>
          <w:rFonts w:eastAsia="Times New Roman" w:cs="Arial"/>
          <w:lang w:eastAsia="en-GB"/>
        </w:rPr>
        <w:t>,</w:t>
      </w:r>
      <w:r w:rsidR="001A461D" w:rsidRPr="00CF3475">
        <w:rPr>
          <w:rFonts w:eastAsia="Times New Roman" w:cs="Arial"/>
          <w:lang w:eastAsia="en-GB"/>
        </w:rPr>
        <w:t xml:space="preserve"> (the </w:t>
      </w:r>
      <w:r w:rsidR="009F4E44" w:rsidRPr="00CF3475">
        <w:rPr>
          <w:rFonts w:eastAsia="Times New Roman" w:cs="Arial"/>
          <w:lang w:eastAsia="en-GB"/>
        </w:rPr>
        <w:t>s</w:t>
      </w:r>
      <w:r w:rsidR="001A461D" w:rsidRPr="00CF3475">
        <w:rPr>
          <w:rFonts w:eastAsia="Times New Roman" w:cs="Arial"/>
          <w:lang w:eastAsia="en-GB"/>
        </w:rPr>
        <w:t xml:space="preserve">ufficiency </w:t>
      </w:r>
      <w:r w:rsidR="009F4E44" w:rsidRPr="00CF3475">
        <w:rPr>
          <w:rFonts w:eastAsia="Times New Roman" w:cs="Arial"/>
          <w:lang w:eastAsia="en-GB"/>
        </w:rPr>
        <w:t>d</w:t>
      </w:r>
      <w:r w:rsidR="001A461D" w:rsidRPr="00CF3475">
        <w:rPr>
          <w:rFonts w:eastAsia="Times New Roman" w:cs="Arial"/>
          <w:lang w:eastAsia="en-GB"/>
        </w:rPr>
        <w:t>uty)</w:t>
      </w:r>
      <w:r w:rsidR="00EB3730">
        <w:rPr>
          <w:rFonts w:eastAsia="Times New Roman" w:cs="Arial"/>
          <w:lang w:val="en" w:eastAsia="en-GB"/>
        </w:rPr>
        <w:t>.</w:t>
      </w:r>
    </w:p>
    <w:p w:rsidR="009F4E44" w:rsidRPr="00CF3475" w:rsidRDefault="009F4E44" w:rsidP="00272390">
      <w:pPr>
        <w:shd w:val="clear" w:color="auto" w:fill="FFFFFF"/>
        <w:spacing w:before="90" w:after="105"/>
        <w:ind w:right="-46"/>
        <w:outlineLvl w:val="1"/>
        <w:rPr>
          <w:rFonts w:eastAsia="Times New Roman" w:cs="Arial"/>
          <w:color w:val="000000"/>
          <w:lang w:val="en" w:eastAsia="en-GB"/>
        </w:rPr>
      </w:pPr>
      <w:r w:rsidRPr="00CF3475">
        <w:rPr>
          <w:rFonts w:eastAsia="Times New Roman" w:cs="Arial"/>
          <w:color w:val="000000"/>
          <w:lang w:val="en" w:eastAsia="en-GB"/>
        </w:rPr>
        <w:t>The sufficiency duty is a general duty that applies to local authority strategic arrangements for commissioning placements and other services to support looked after children and those “on the edge of care”. (‘</w:t>
      </w:r>
      <w:r w:rsidRPr="00CF3475">
        <w:rPr>
          <w:rFonts w:eastAsia="Times New Roman" w:cs="Arial"/>
          <w:bCs/>
          <w:color w:val="000000"/>
          <w:kern w:val="36"/>
          <w:lang w:val="en" w:eastAsia="en-GB"/>
        </w:rPr>
        <w:t>Securing sufficient accommodation for looked after children’ statutory guidance DfE, March 2013)</w:t>
      </w:r>
    </w:p>
    <w:p w:rsidR="009F4E44" w:rsidRPr="00CF3475" w:rsidRDefault="009F4E44" w:rsidP="000D4D77">
      <w:pPr>
        <w:shd w:val="clear" w:color="auto" w:fill="FFFFFF"/>
        <w:spacing w:before="100" w:beforeAutospacing="1" w:after="225"/>
        <w:rPr>
          <w:rFonts w:eastAsia="Times New Roman" w:cs="Arial"/>
          <w:color w:val="000000"/>
          <w:lang w:val="en" w:eastAsia="en-GB"/>
        </w:rPr>
      </w:pPr>
      <w:r w:rsidRPr="00CF3475">
        <w:rPr>
          <w:rFonts w:eastAsia="Times New Roman" w:cs="Arial"/>
          <w:color w:val="000000"/>
          <w:lang w:val="en" w:eastAsia="en-GB"/>
        </w:rPr>
        <w:t>To meet the requirements of the ‘sufficiency duty’ we need to have in place systems and processes for:</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care planning and assessment for individual children;</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commissioning individual placements</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the strategic analysis of children’s needs across an authority area;</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market management;</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 xml:space="preserve">inter-agency collaboration (locally and regionally); </w:t>
      </w:r>
    </w:p>
    <w:p w:rsidR="00E546E9" w:rsidRPr="00EB3730" w:rsidRDefault="00A61D51" w:rsidP="00272D0E">
      <w:pPr>
        <w:numPr>
          <w:ilvl w:val="0"/>
          <w:numId w:val="6"/>
        </w:numPr>
        <w:shd w:val="clear" w:color="auto" w:fill="FFFFFF"/>
        <w:spacing w:before="100" w:beforeAutospacing="1" w:after="75" w:line="240" w:lineRule="auto"/>
        <w:rPr>
          <w:rFonts w:eastAsia="Times New Roman" w:cs="Arial"/>
          <w:color w:val="5A5B5B"/>
          <w:lang w:eastAsia="en-GB"/>
        </w:rPr>
      </w:pPr>
      <w:r w:rsidRPr="00CF3475">
        <w:rPr>
          <w:rFonts w:eastAsia="Times New Roman" w:cs="Arial"/>
          <w:color w:val="000000"/>
          <w:lang w:val="en" w:eastAsia="en-GB"/>
        </w:rPr>
        <w:t>Individual</w:t>
      </w:r>
      <w:r w:rsidR="009F4E44" w:rsidRPr="00CF3475">
        <w:rPr>
          <w:rFonts w:eastAsia="Times New Roman" w:cs="Arial"/>
          <w:color w:val="000000"/>
          <w:lang w:val="en" w:eastAsia="en-GB"/>
        </w:rPr>
        <w:t xml:space="preserve"> and strategic review of service effectiveness.</w:t>
      </w:r>
      <w:r w:rsidR="00EB3730">
        <w:rPr>
          <w:rFonts w:eastAsia="Times New Roman" w:cs="Arial"/>
          <w:color w:val="5A5B5B"/>
          <w:lang w:eastAsia="en-GB"/>
        </w:rPr>
        <w:br/>
      </w:r>
    </w:p>
    <w:p w:rsidR="00766895" w:rsidRPr="00CF3475" w:rsidRDefault="00766895" w:rsidP="008366F1">
      <w:pPr>
        <w:rPr>
          <w:rFonts w:cs="Arial"/>
        </w:rPr>
      </w:pPr>
      <w:r w:rsidRPr="00CF3475">
        <w:rPr>
          <w:rFonts w:cs="Arial"/>
        </w:rPr>
        <w:t>The strategy outlines the principl</w:t>
      </w:r>
      <w:r w:rsidR="00E546E9" w:rsidRPr="00CF3475">
        <w:rPr>
          <w:rFonts w:cs="Arial"/>
        </w:rPr>
        <w:t>e</w:t>
      </w:r>
      <w:r w:rsidRPr="00CF3475">
        <w:rPr>
          <w:rFonts w:cs="Arial"/>
        </w:rPr>
        <w:t xml:space="preserve">s and intended activities to develop and strengthen placements services so that placement provision is available for the right children, at the right time, in the right location and at the right price. To </w:t>
      </w:r>
      <w:r w:rsidR="001A461D" w:rsidRPr="00CF3475">
        <w:rPr>
          <w:rFonts w:cs="Arial"/>
        </w:rPr>
        <w:t xml:space="preserve">achieve this, there will </w:t>
      </w:r>
      <w:r w:rsidR="00E546E9" w:rsidRPr="00CF3475">
        <w:rPr>
          <w:rFonts w:cs="Arial"/>
        </w:rPr>
        <w:t>be a</w:t>
      </w:r>
      <w:r w:rsidRPr="00CF3475">
        <w:rPr>
          <w:rFonts w:cs="Arial"/>
        </w:rPr>
        <w:t xml:space="preserve"> range of placement options </w:t>
      </w:r>
      <w:r w:rsidR="001A461D" w:rsidRPr="00CF3475">
        <w:rPr>
          <w:rFonts w:cs="Arial"/>
        </w:rPr>
        <w:t xml:space="preserve">to </w:t>
      </w:r>
      <w:r w:rsidRPr="00CF3475">
        <w:rPr>
          <w:rFonts w:cs="Arial"/>
        </w:rPr>
        <w:t xml:space="preserve">achieve the best </w:t>
      </w:r>
      <w:r w:rsidRPr="00CF3475">
        <w:rPr>
          <w:rFonts w:cs="Arial"/>
        </w:rPr>
        <w:lastRenderedPageBreak/>
        <w:t xml:space="preserve">match and ensure that each child’s needs are appropriately met. The </w:t>
      </w:r>
      <w:r w:rsidR="00E546E9" w:rsidRPr="00CF3475">
        <w:rPr>
          <w:rFonts w:cs="Arial"/>
        </w:rPr>
        <w:t>s</w:t>
      </w:r>
      <w:r w:rsidRPr="00CF3475">
        <w:rPr>
          <w:rFonts w:cs="Arial"/>
        </w:rPr>
        <w:t>trategy should be read in conjunction with the Children and</w:t>
      </w:r>
      <w:r w:rsidR="007519E1" w:rsidRPr="00CF3475">
        <w:rPr>
          <w:rFonts w:cs="Arial"/>
        </w:rPr>
        <w:t xml:space="preserve"> </w:t>
      </w:r>
      <w:r w:rsidR="001F7DB5" w:rsidRPr="00CF3475">
        <w:rPr>
          <w:rFonts w:cs="Arial"/>
        </w:rPr>
        <w:t xml:space="preserve">Young </w:t>
      </w:r>
      <w:r w:rsidR="00E546E9" w:rsidRPr="00CF3475">
        <w:rPr>
          <w:rFonts w:cs="Arial"/>
        </w:rPr>
        <w:t>P</w:t>
      </w:r>
      <w:r w:rsidR="001F7DB5" w:rsidRPr="00CF3475">
        <w:rPr>
          <w:rFonts w:cs="Arial"/>
        </w:rPr>
        <w:t>eople</w:t>
      </w:r>
      <w:r w:rsidR="007519E1" w:rsidRPr="00CF3475">
        <w:rPr>
          <w:rFonts w:cs="Arial"/>
        </w:rPr>
        <w:t xml:space="preserve">’s </w:t>
      </w:r>
      <w:r w:rsidR="00E546E9" w:rsidRPr="00CF3475">
        <w:rPr>
          <w:rFonts w:cs="Arial"/>
        </w:rPr>
        <w:t>P</w:t>
      </w:r>
      <w:r w:rsidR="007519E1" w:rsidRPr="00CF3475">
        <w:rPr>
          <w:rFonts w:cs="Arial"/>
        </w:rPr>
        <w:t xml:space="preserve">lan, Invest </w:t>
      </w:r>
      <w:r w:rsidR="00A61D51" w:rsidRPr="00CF3475">
        <w:rPr>
          <w:rFonts w:cs="Arial"/>
        </w:rPr>
        <w:t>in</w:t>
      </w:r>
      <w:r w:rsidR="007519E1" w:rsidRPr="00CF3475">
        <w:rPr>
          <w:rFonts w:cs="Arial"/>
        </w:rPr>
        <w:t xml:space="preserve"> </w:t>
      </w:r>
      <w:r w:rsidRPr="00CF3475">
        <w:rPr>
          <w:rFonts w:cs="Arial"/>
        </w:rPr>
        <w:t>Our Children Commissioning Strategy</w:t>
      </w:r>
      <w:r w:rsidR="00EB3730" w:rsidRPr="00CF3475">
        <w:rPr>
          <w:rFonts w:cs="Arial"/>
        </w:rPr>
        <w:t>, the</w:t>
      </w:r>
      <w:r w:rsidRPr="00CF3475">
        <w:rPr>
          <w:rFonts w:cs="Arial"/>
        </w:rPr>
        <w:t xml:space="preserve"> Children’</w:t>
      </w:r>
      <w:r w:rsidR="00C956C0" w:rsidRPr="00CF3475">
        <w:rPr>
          <w:rFonts w:cs="Arial"/>
        </w:rPr>
        <w:t>s Pledge</w:t>
      </w:r>
      <w:r w:rsidR="009F4E44" w:rsidRPr="00CF3475">
        <w:rPr>
          <w:rFonts w:cs="Arial"/>
        </w:rPr>
        <w:t xml:space="preserve"> and Social Care and Safeguarding Strategic Plans. </w:t>
      </w:r>
    </w:p>
    <w:p w:rsidR="00C956C0" w:rsidRPr="00CF3475" w:rsidRDefault="00766895" w:rsidP="008366F1">
      <w:pPr>
        <w:rPr>
          <w:rFonts w:cs="Arial"/>
        </w:rPr>
      </w:pPr>
      <w:r w:rsidRPr="00CF3475">
        <w:rPr>
          <w:rFonts w:cs="Arial"/>
        </w:rPr>
        <w:t xml:space="preserve">The </w:t>
      </w:r>
      <w:r w:rsidR="00E546E9" w:rsidRPr="00CF3475">
        <w:rPr>
          <w:rFonts w:cs="Arial"/>
        </w:rPr>
        <w:t>s</w:t>
      </w:r>
      <w:r w:rsidRPr="00CF3475">
        <w:rPr>
          <w:rFonts w:cs="Arial"/>
        </w:rPr>
        <w:t xml:space="preserve">trategy encompasses key elements of the current transitional arrangements </w:t>
      </w:r>
      <w:r w:rsidR="00C956C0" w:rsidRPr="00CF3475">
        <w:rPr>
          <w:rFonts w:cs="Arial"/>
        </w:rPr>
        <w:t xml:space="preserve">for supporting care leavers. The developing </w:t>
      </w:r>
      <w:r w:rsidR="009F4E44" w:rsidRPr="00CF3475">
        <w:rPr>
          <w:rFonts w:cs="Arial"/>
        </w:rPr>
        <w:t>Early Help</w:t>
      </w:r>
      <w:r w:rsidR="00C956C0" w:rsidRPr="00CF3475">
        <w:rPr>
          <w:rFonts w:cs="Arial"/>
        </w:rPr>
        <w:t xml:space="preserve"> strategy should support and be consistent with this strategy</w:t>
      </w:r>
      <w:r w:rsidR="00E546E9" w:rsidRPr="00CF3475">
        <w:rPr>
          <w:rFonts w:cs="Arial"/>
        </w:rPr>
        <w:t>.</w:t>
      </w:r>
      <w:r w:rsidR="00C956C0" w:rsidRPr="00CF3475">
        <w:rPr>
          <w:rFonts w:cs="Arial"/>
        </w:rPr>
        <w:t xml:space="preserve"> </w:t>
      </w:r>
    </w:p>
    <w:p w:rsidR="00C956C0" w:rsidRDefault="00CA3DA1" w:rsidP="008366F1">
      <w:pPr>
        <w:rPr>
          <w:rFonts w:cs="Arial"/>
        </w:rPr>
      </w:pPr>
      <w:r w:rsidRPr="00CF3475">
        <w:rPr>
          <w:rFonts w:cs="Arial"/>
        </w:rPr>
        <w:t xml:space="preserve">Trend data on the Looked After </w:t>
      </w:r>
      <w:r w:rsidR="00C956C0" w:rsidRPr="00CF3475">
        <w:rPr>
          <w:rFonts w:cs="Arial"/>
        </w:rPr>
        <w:t>Children population in Leicester City, which includes comparators with the national picture, is located in the appendices. Analysis of the historical data provides the best indicator of the likely nature and extent of need in the short, medium and longer term, but the strategy is also informed by service aims, objectives and targets of the current national and local priorities.</w:t>
      </w:r>
    </w:p>
    <w:p w:rsidR="00C83F1D" w:rsidRPr="00C83F1D" w:rsidRDefault="00C83F1D" w:rsidP="00C83F1D">
      <w:pPr>
        <w:pStyle w:val="NoSpacing"/>
      </w:pPr>
      <w:r w:rsidRPr="00C83F1D">
        <w:t xml:space="preserve">Analysis and consideration on the current pattern of placement provision, previous placement activity and change in trend indicates that for Leicester </w:t>
      </w:r>
    </w:p>
    <w:p w:rsidR="00C83F1D" w:rsidRPr="00C83F1D" w:rsidRDefault="00C83F1D" w:rsidP="00C83F1D">
      <w:pPr>
        <w:pStyle w:val="NoSpacing"/>
      </w:pPr>
      <w:r w:rsidRPr="00C83F1D">
        <w:t>sufficient number of accommodation provision in the area and a range of accommodation capable of meeting different needs (i.e. meeting the</w:t>
      </w:r>
    </w:p>
    <w:p w:rsidR="00C83F1D" w:rsidRPr="00C83F1D" w:rsidRDefault="00C83F1D" w:rsidP="00C83F1D">
      <w:pPr>
        <w:pStyle w:val="NoSpacing"/>
      </w:pPr>
      <w:r w:rsidRPr="00C83F1D">
        <w:t>Sufficiency duty), there is a need to respond to the following key service challenges:</w:t>
      </w:r>
    </w:p>
    <w:p w:rsidR="00C83F1D" w:rsidRPr="00C83F1D" w:rsidRDefault="00C83F1D" w:rsidP="00C83F1D">
      <w:pPr>
        <w:rPr>
          <w:rFonts w:cs="Arial"/>
        </w:rPr>
      </w:pPr>
    </w:p>
    <w:p w:rsidR="00C83F1D" w:rsidRPr="00C83F1D" w:rsidRDefault="00C83F1D" w:rsidP="00C83F1D">
      <w:pPr>
        <w:rPr>
          <w:rFonts w:cs="Arial"/>
        </w:rPr>
      </w:pPr>
      <w:r w:rsidRPr="00C83F1D">
        <w:rPr>
          <w:rFonts w:cs="Arial"/>
        </w:rPr>
        <w:t>•</w:t>
      </w:r>
      <w:r w:rsidRPr="00C83F1D">
        <w:rPr>
          <w:rFonts w:cs="Arial"/>
        </w:rPr>
        <w:tab/>
        <w:t>Increase the number of in house Foster Carers by 10 placements a year for aged 12 and over and fro sibling groups .</w:t>
      </w:r>
    </w:p>
    <w:p w:rsidR="00C83F1D" w:rsidRPr="00C83F1D" w:rsidRDefault="00C83F1D" w:rsidP="00C83F1D">
      <w:pPr>
        <w:rPr>
          <w:rFonts w:cs="Arial"/>
        </w:rPr>
      </w:pPr>
      <w:r w:rsidRPr="00C83F1D">
        <w:rPr>
          <w:rFonts w:cs="Arial"/>
        </w:rPr>
        <w:t>•</w:t>
      </w:r>
      <w:r w:rsidRPr="00C83F1D">
        <w:rPr>
          <w:rFonts w:cs="Arial"/>
        </w:rPr>
        <w:tab/>
        <w:t>Reduce level of Residential Placements for disabled children Barnes heath House in order to maintain Short breaks provision of 9 placements.</w:t>
      </w:r>
    </w:p>
    <w:p w:rsidR="00C83F1D" w:rsidRPr="00C83F1D" w:rsidRDefault="00C83F1D" w:rsidP="00C83F1D">
      <w:pPr>
        <w:rPr>
          <w:rFonts w:cs="Arial"/>
        </w:rPr>
      </w:pPr>
      <w:r w:rsidRPr="00C83F1D">
        <w:rPr>
          <w:rFonts w:cs="Arial"/>
        </w:rPr>
        <w:t>•</w:t>
      </w:r>
      <w:r w:rsidRPr="00C83F1D">
        <w:rPr>
          <w:rFonts w:cs="Arial"/>
        </w:rPr>
        <w:tab/>
        <w:t xml:space="preserve">Address a lack of supported accommodation provision, particularly for those with chaotic and difficult behaviour </w:t>
      </w:r>
      <w:r>
        <w:rPr>
          <w:rFonts w:cs="Arial"/>
        </w:rPr>
        <w:t>and those</w:t>
      </w:r>
      <w:r w:rsidRPr="00C83F1D">
        <w:rPr>
          <w:rFonts w:cs="Arial"/>
        </w:rPr>
        <w:t xml:space="preserve"> those leaving custody </w:t>
      </w:r>
    </w:p>
    <w:p w:rsidR="00C83F1D" w:rsidRPr="00C83F1D" w:rsidRDefault="00C83F1D" w:rsidP="00C83F1D">
      <w:pPr>
        <w:rPr>
          <w:rFonts w:cs="Arial"/>
        </w:rPr>
      </w:pPr>
      <w:r w:rsidRPr="00C83F1D">
        <w:rPr>
          <w:rFonts w:cs="Arial"/>
        </w:rPr>
        <w:t>•</w:t>
      </w:r>
      <w:r w:rsidRPr="00C83F1D">
        <w:rPr>
          <w:rFonts w:cs="Arial"/>
        </w:rPr>
        <w:tab/>
        <w:t xml:space="preserve">Reduce number of Young people placed in external provision </w:t>
      </w:r>
      <w:r>
        <w:rPr>
          <w:rFonts w:cs="Arial"/>
        </w:rPr>
        <w:t xml:space="preserve">by </w:t>
      </w:r>
      <w:r w:rsidRPr="00C83F1D">
        <w:rPr>
          <w:rFonts w:cs="Arial"/>
        </w:rPr>
        <w:t>5 and maintain internal Residential provision 30 placements.</w:t>
      </w:r>
    </w:p>
    <w:p w:rsidR="00C83F1D" w:rsidRPr="00C83F1D" w:rsidRDefault="00C83F1D" w:rsidP="00C83F1D">
      <w:pPr>
        <w:rPr>
          <w:rFonts w:cs="Arial"/>
        </w:rPr>
      </w:pPr>
      <w:r w:rsidRPr="00C83F1D">
        <w:rPr>
          <w:rFonts w:cs="Arial"/>
        </w:rPr>
        <w:t>•</w:t>
      </w:r>
      <w:r w:rsidRPr="00C83F1D">
        <w:rPr>
          <w:rFonts w:cs="Arial"/>
        </w:rPr>
        <w:tab/>
        <w:t xml:space="preserve">Increase numbers of children </w:t>
      </w:r>
      <w:r>
        <w:rPr>
          <w:rFonts w:cs="Arial"/>
        </w:rPr>
        <w:t>A</w:t>
      </w:r>
      <w:r w:rsidRPr="00C83F1D">
        <w:rPr>
          <w:rFonts w:cs="Arial"/>
        </w:rPr>
        <w:t xml:space="preserve">dopted to 40 per year </w:t>
      </w:r>
    </w:p>
    <w:p w:rsidR="00C83F1D" w:rsidRDefault="00C83F1D" w:rsidP="00C83F1D">
      <w:pPr>
        <w:rPr>
          <w:rFonts w:cs="Arial"/>
        </w:rPr>
      </w:pPr>
      <w:r w:rsidRPr="00C83F1D">
        <w:rPr>
          <w:rFonts w:cs="Arial"/>
        </w:rPr>
        <w:t>•</w:t>
      </w:r>
      <w:r w:rsidRPr="00C83F1D">
        <w:rPr>
          <w:rFonts w:cs="Arial"/>
        </w:rPr>
        <w:tab/>
        <w:t xml:space="preserve">Increase number of Adopters    </w:t>
      </w:r>
    </w:p>
    <w:p w:rsidR="00C83F1D" w:rsidRDefault="00C83F1D" w:rsidP="008366F1">
      <w:pPr>
        <w:rPr>
          <w:rFonts w:cs="Arial"/>
        </w:rPr>
      </w:pPr>
    </w:p>
    <w:p w:rsidR="00C83F1D" w:rsidRDefault="00C83F1D" w:rsidP="008366F1">
      <w:pPr>
        <w:rPr>
          <w:rFonts w:cs="Arial"/>
        </w:rPr>
      </w:pPr>
    </w:p>
    <w:p w:rsidR="00C83F1D" w:rsidRPr="00C83F1D" w:rsidRDefault="00C83F1D" w:rsidP="008366F1">
      <w:pPr>
        <w:rPr>
          <w:rFonts w:cs="Arial"/>
          <w:b/>
          <w:u w:val="single"/>
        </w:rPr>
      </w:pPr>
      <w:r w:rsidRPr="00C83F1D">
        <w:rPr>
          <w:rFonts w:cs="Arial"/>
          <w:b/>
          <w:u w:val="single"/>
        </w:rPr>
        <w:t>Commissioning - Sufficiency Priorities</w:t>
      </w:r>
    </w:p>
    <w:p w:rsidR="00A71032" w:rsidRPr="00A71032" w:rsidRDefault="00A71032" w:rsidP="00972BE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work in partnership with early help and edge of care services so that the right children become LAC, at the right time</w:t>
      </w:r>
    </w:p>
    <w:p w:rsidR="00A71032" w:rsidRPr="00A71032" w:rsidRDefault="00A71032" w:rsidP="00A71032">
      <w:pPr>
        <w:pStyle w:val="NoSpacing"/>
        <w:rPr>
          <w:rStyle w:val="SubtleEmphasis"/>
          <w:i w:val="0"/>
          <w:iCs w:val="0"/>
          <w:color w:val="auto"/>
        </w:rPr>
      </w:pPr>
      <w:r w:rsidRPr="00A71032">
        <w:rPr>
          <w:rStyle w:val="SubtleEmphasis"/>
          <w:iCs w:val="0"/>
          <w:color w:val="auto"/>
        </w:rPr>
        <w:t xml:space="preserve">Rational </w:t>
      </w:r>
      <w:r>
        <w:rPr>
          <w:rStyle w:val="SubtleEmphasis"/>
          <w:i w:val="0"/>
          <w:iCs w:val="0"/>
          <w:color w:val="auto"/>
        </w:rPr>
        <w:t xml:space="preserve"> </w:t>
      </w:r>
      <w:r w:rsidRPr="00A71032">
        <w:rPr>
          <w:rStyle w:val="SubtleEmphasis"/>
          <w:i w:val="0"/>
          <w:iCs w:val="0"/>
          <w:color w:val="auto"/>
        </w:rPr>
        <w:t>To ensure resources are targeted at the right children and that all alternatives to public care are considered prior to a child becoming LAC</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The overall number of LAC has increased in the last three years to just below 550</w:t>
      </w:r>
      <w:r>
        <w:rPr>
          <w:rStyle w:val="SubtleEmphasis"/>
          <w:i w:val="0"/>
          <w:iCs w:val="0"/>
          <w:color w:val="auto"/>
        </w:rPr>
        <w:t>.</w:t>
      </w:r>
    </w:p>
    <w:p w:rsidR="00A71032" w:rsidRDefault="00A71032" w:rsidP="001F7DB5">
      <w:pPr>
        <w:rPr>
          <w:rStyle w:val="SubtleEmphasis"/>
          <w:rFonts w:cs="Arial"/>
          <w:b/>
          <w:i w:val="0"/>
          <w:color w:val="auto"/>
          <w:u w:val="single"/>
        </w:rPr>
      </w:pPr>
    </w:p>
    <w:p w:rsidR="00A71032" w:rsidRPr="00A71032" w:rsidRDefault="00A71032" w:rsidP="00972BE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have sufficient high quality placements that provide consistently good and outstanding care to children so their assessed needs are met and children achieve to their full potential</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There is a choice of high quality placements in a range of settings (residential, specialist schools, foster care, kinship, adoption, supported independent living) available to meet the needs of children, including heritage, disability, sexuality, health, education, emotional health and well –being.</w:t>
      </w:r>
    </w:p>
    <w:p w:rsidR="00A71032" w:rsidRPr="00A71032" w:rsidRDefault="00A71032" w:rsidP="003D1703">
      <w:pPr>
        <w:pStyle w:val="ListParagraph"/>
        <w:numPr>
          <w:ilvl w:val="0"/>
          <w:numId w:val="13"/>
        </w:numPr>
        <w:ind w:left="426" w:hanging="426"/>
        <w:rPr>
          <w:rStyle w:val="SubtleEmphasis"/>
          <w:rFonts w:cs="Arial"/>
          <w:b/>
          <w:i w:val="0"/>
          <w:color w:val="auto"/>
          <w:u w:val="single"/>
        </w:rPr>
      </w:pPr>
      <w:r w:rsidRPr="00A71032">
        <w:rPr>
          <w:rStyle w:val="SubtleEmphasis"/>
          <w:rFonts w:cs="Arial"/>
          <w:b/>
          <w:i w:val="0"/>
          <w:color w:val="auto"/>
        </w:rPr>
        <w:t>To meet the needs of severely disabled children, including those with mental health needs</w:t>
      </w:r>
      <w:r w:rsidRPr="00A71032">
        <w:rPr>
          <w:rStyle w:val="SubtleEmphasis"/>
          <w:rFonts w:cs="Arial"/>
          <w:b/>
          <w:i w:val="0"/>
          <w:color w:val="auto"/>
          <w:u w:val="single"/>
        </w:rPr>
        <w:t>.</w:t>
      </w:r>
    </w:p>
    <w:p w:rsidR="00A71032" w:rsidRPr="00A71032" w:rsidRDefault="00A71032" w:rsidP="00A71032">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 assessed needs of disabled children are met </w:t>
      </w:r>
      <w:r>
        <w:rPr>
          <w:rStyle w:val="SubtleEmphasis"/>
          <w:rFonts w:cs="Arial"/>
          <w:i w:val="0"/>
          <w:color w:val="auto"/>
        </w:rPr>
        <w:t>within</w:t>
      </w:r>
      <w:r w:rsidRPr="00A71032">
        <w:rPr>
          <w:rStyle w:val="SubtleEmphasis"/>
          <w:rFonts w:cs="Arial"/>
          <w:i w:val="0"/>
          <w:color w:val="auto"/>
        </w:rPr>
        <w:t xml:space="preserve"> the community </w:t>
      </w:r>
      <w:r>
        <w:rPr>
          <w:rStyle w:val="SubtleEmphasis"/>
          <w:rFonts w:cs="Arial"/>
          <w:i w:val="0"/>
          <w:color w:val="auto"/>
        </w:rPr>
        <w:t>,</w:t>
      </w:r>
      <w:r w:rsidRPr="00A71032">
        <w:rPr>
          <w:rStyle w:val="SubtleEmphasis"/>
          <w:rFonts w:cs="Arial"/>
          <w:i w:val="0"/>
          <w:color w:val="auto"/>
        </w:rPr>
        <w:t>through S17 short breaks</w:t>
      </w:r>
      <w:r>
        <w:rPr>
          <w:rStyle w:val="SubtleEmphasis"/>
          <w:rFonts w:cs="Arial"/>
          <w:i w:val="0"/>
          <w:color w:val="auto"/>
        </w:rPr>
        <w:t xml:space="preserve">, </w:t>
      </w:r>
      <w:r w:rsidRPr="00A71032">
        <w:rPr>
          <w:rStyle w:val="SubtleEmphasis"/>
          <w:rFonts w:cs="Arial"/>
          <w:i w:val="0"/>
          <w:color w:val="auto"/>
        </w:rPr>
        <w:t>at in house specialist provision such as Netherhall Road or Barnes Heath House</w:t>
      </w:r>
      <w:r>
        <w:rPr>
          <w:rStyle w:val="SubtleEmphasis"/>
          <w:rFonts w:cs="Arial"/>
          <w:i w:val="0"/>
          <w:color w:val="auto"/>
        </w:rPr>
        <w:t xml:space="preserve">, </w:t>
      </w:r>
      <w:r w:rsidRPr="00A71032">
        <w:rPr>
          <w:rStyle w:val="SubtleEmphasis"/>
          <w:rFonts w:cs="Arial"/>
          <w:i w:val="0"/>
          <w:color w:val="auto"/>
        </w:rPr>
        <w:t>through joint funded specialist placement as agreed at Joint Solutions Forum</w:t>
      </w:r>
      <w:r>
        <w:rPr>
          <w:rStyle w:val="SubtleEmphasis"/>
          <w:rFonts w:cs="Arial"/>
          <w:i w:val="0"/>
          <w:color w:val="auto"/>
        </w:rPr>
        <w:t xml:space="preserve">. </w:t>
      </w:r>
      <w:r w:rsidRPr="00A71032">
        <w:rPr>
          <w:rStyle w:val="SubtleEmphasis"/>
          <w:rFonts w:cs="Arial"/>
          <w:i w:val="0"/>
          <w:color w:val="auto"/>
        </w:rPr>
        <w:t>For children with</w:t>
      </w:r>
      <w:r>
        <w:rPr>
          <w:rStyle w:val="SubtleEmphasis"/>
          <w:rFonts w:cs="Arial"/>
          <w:i w:val="0"/>
          <w:color w:val="auto"/>
        </w:rPr>
        <w:t xml:space="preserve"> </w:t>
      </w:r>
      <w:r w:rsidRPr="00A71032">
        <w:rPr>
          <w:rStyle w:val="SubtleEmphasis"/>
          <w:rFonts w:cs="Arial"/>
          <w:i w:val="0"/>
          <w:color w:val="auto"/>
        </w:rPr>
        <w:t xml:space="preserve">severe mental health needs, they are placed in settings appropriate to their age and joint assessed needs where risk of harm  is proactively managed and reduced. </w:t>
      </w:r>
    </w:p>
    <w:p w:rsidR="00A71032" w:rsidRPr="00A71032" w:rsidRDefault="00A71032" w:rsidP="002D2F7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scope and undertake a specific project to secure suitable accommodation for 16+ young people and care leavers</w:t>
      </w:r>
    </w:p>
    <w:p w:rsidR="00A71032" w:rsidRPr="00A71032" w:rsidRDefault="00A71032" w:rsidP="00A71032">
      <w:pPr>
        <w:pStyle w:val="NoSpacing"/>
        <w:rPr>
          <w:rStyle w:val="SubtleEmphasis"/>
          <w:rFonts w:cs="Arial"/>
          <w:i w:val="0"/>
          <w:color w:val="auto"/>
        </w:rPr>
      </w:pPr>
      <w:r w:rsidRPr="00A71032">
        <w:rPr>
          <w:rStyle w:val="SubtleEmphasis"/>
          <w:rFonts w:cs="Arial"/>
          <w:color w:val="auto"/>
        </w:rPr>
        <w:lastRenderedPageBreak/>
        <w:t>Rationa</w:t>
      </w:r>
      <w:r w:rsidRPr="00A71032">
        <w:rPr>
          <w:rStyle w:val="SubtleEmphasis"/>
          <w:rFonts w:cs="Arial"/>
          <w:i w:val="0"/>
          <w:color w:val="auto"/>
        </w:rPr>
        <w:t xml:space="preserve">l To have a ‘Staying Put’ policy embedded </w:t>
      </w:r>
      <w:r>
        <w:rPr>
          <w:rStyle w:val="SubtleEmphasis"/>
          <w:rFonts w:cs="Arial"/>
          <w:i w:val="0"/>
          <w:color w:val="auto"/>
        </w:rPr>
        <w:t xml:space="preserve">and to ensure a range of supported provision that </w:t>
      </w:r>
      <w:r w:rsidRPr="00A71032">
        <w:rPr>
          <w:rStyle w:val="SubtleEmphasis"/>
          <w:rFonts w:cs="Arial"/>
          <w:i w:val="0"/>
          <w:color w:val="auto"/>
        </w:rPr>
        <w:t>provide value for money, high quality provision in a range of settings</w:t>
      </w:r>
      <w:r>
        <w:rPr>
          <w:rStyle w:val="SubtleEmphasis"/>
          <w:rFonts w:cs="Arial"/>
          <w:i w:val="0"/>
          <w:color w:val="auto"/>
        </w:rPr>
        <w:t>.</w:t>
      </w:r>
      <w:r w:rsidRPr="00A71032">
        <w:rPr>
          <w:rStyle w:val="SubtleEmphasis"/>
          <w:rFonts w:cs="Arial"/>
          <w:i w:val="0"/>
          <w:color w:val="auto"/>
        </w:rPr>
        <w:t xml:space="preserve"> To maximise opportunities for joint commissioning with partners and regional colleagues </w:t>
      </w:r>
    </w:p>
    <w:p w:rsidR="00A71032" w:rsidRDefault="00A71032" w:rsidP="00FB3BF4">
      <w:pPr>
        <w:pStyle w:val="NoSpacing"/>
        <w:rPr>
          <w:rStyle w:val="SubtleEmphasis"/>
          <w:rFonts w:cs="Arial"/>
          <w:i w:val="0"/>
          <w:color w:val="auto"/>
        </w:rPr>
      </w:pPr>
      <w:r w:rsidRPr="00A71032">
        <w:rPr>
          <w:rStyle w:val="SubtleEmphasis"/>
          <w:rFonts w:cs="Arial"/>
          <w:i w:val="0"/>
          <w:color w:val="auto"/>
        </w:rPr>
        <w:t>To meet the needs of unaccompanied asylum seeking children, teenage parents, and those at risk of child sexual exploitation , domestic abuse or honour based violence</w:t>
      </w:r>
      <w:r w:rsidR="00FB3BF4">
        <w:rPr>
          <w:rStyle w:val="SubtleEmphasis"/>
          <w:rFonts w:cs="Arial"/>
          <w:i w:val="0"/>
          <w:color w:val="auto"/>
        </w:rPr>
        <w:t>.</w:t>
      </w:r>
    </w:p>
    <w:p w:rsidR="002D2F77" w:rsidRDefault="002D2F77" w:rsidP="00FB3BF4">
      <w:pPr>
        <w:pStyle w:val="NoSpacing"/>
        <w:rPr>
          <w:rStyle w:val="SubtleEmphasis"/>
          <w:rFonts w:cs="Arial"/>
          <w:b/>
          <w:i w:val="0"/>
          <w:color w:val="auto"/>
          <w:u w:val="single"/>
        </w:rPr>
      </w:pPr>
    </w:p>
    <w:p w:rsidR="00A71032" w:rsidRPr="00A71032" w:rsidRDefault="00A71032" w:rsidP="002D2F77">
      <w:pPr>
        <w:pStyle w:val="ListParagraph"/>
        <w:numPr>
          <w:ilvl w:val="0"/>
          <w:numId w:val="13"/>
        </w:numPr>
        <w:ind w:left="284" w:hanging="284"/>
        <w:rPr>
          <w:rStyle w:val="SubtleEmphasis"/>
          <w:rFonts w:cs="Arial"/>
          <w:b/>
          <w:i w:val="0"/>
          <w:color w:val="auto"/>
        </w:rPr>
      </w:pPr>
      <w:r w:rsidRPr="00A71032">
        <w:rPr>
          <w:rStyle w:val="SubtleEmphasis"/>
          <w:rFonts w:cs="Arial"/>
          <w:b/>
          <w:i w:val="0"/>
          <w:color w:val="auto"/>
        </w:rPr>
        <w:t>To ensure value for money across the board in placement provision within the allocated budget</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To reduce the level of overspend within a volatile budget area</w:t>
      </w:r>
    </w:p>
    <w:p w:rsidR="00A71032" w:rsidRDefault="00A71032" w:rsidP="001F7DB5">
      <w:pPr>
        <w:rPr>
          <w:rStyle w:val="SubtleEmphasis"/>
          <w:rFonts w:cs="Arial"/>
          <w:b/>
          <w:i w:val="0"/>
          <w:color w:val="auto"/>
          <w:u w:val="single"/>
        </w:rPr>
      </w:pPr>
    </w:p>
    <w:p w:rsidR="00A71032" w:rsidRPr="00A71032" w:rsidRDefault="00A71032" w:rsidP="002D2F77">
      <w:pPr>
        <w:pStyle w:val="ListParagraph"/>
        <w:numPr>
          <w:ilvl w:val="0"/>
          <w:numId w:val="13"/>
        </w:numPr>
        <w:ind w:left="284" w:hanging="284"/>
        <w:rPr>
          <w:rStyle w:val="SubtleEmphasis"/>
          <w:rFonts w:cs="Arial"/>
          <w:b/>
          <w:i w:val="0"/>
          <w:color w:val="auto"/>
          <w:u w:val="single"/>
        </w:rPr>
      </w:pPr>
      <w:r w:rsidRPr="00A71032">
        <w:rPr>
          <w:rStyle w:val="SubtleEmphasis"/>
          <w:rFonts w:cs="Arial"/>
          <w:b/>
          <w:i w:val="0"/>
          <w:color w:val="auto"/>
        </w:rPr>
        <w:t>To interpret national and local data to inform placement planning, identify gaps in provision and anticipate emerging need resulting in responsive and dynamic recruitment and commissioning strategies</w:t>
      </w:r>
      <w:r w:rsidRPr="00A71032">
        <w:rPr>
          <w:rStyle w:val="SubtleEmphasis"/>
          <w:rFonts w:cs="Arial"/>
          <w:b/>
          <w:i w:val="0"/>
          <w:color w:val="auto"/>
          <w:u w:val="single"/>
        </w:rPr>
        <w:t>.</w:t>
      </w:r>
    </w:p>
    <w:p w:rsidR="00A71032" w:rsidRPr="00A71032" w:rsidRDefault="00A71032" w:rsidP="00A71032">
      <w:pPr>
        <w:pStyle w:val="NoSpacing"/>
        <w:rPr>
          <w:rStyle w:val="SubtleEmphasis"/>
          <w:i w:val="0"/>
          <w:iCs w:val="0"/>
          <w:color w:val="auto"/>
        </w:rPr>
      </w:pPr>
      <w:r w:rsidRPr="00A71032">
        <w:rPr>
          <w:rStyle w:val="SubtleEmphasis"/>
          <w:iCs w:val="0"/>
          <w:color w:val="auto"/>
        </w:rPr>
        <w:t>Rational</w:t>
      </w:r>
      <w:r>
        <w:rPr>
          <w:rStyle w:val="SubtleEmphasis"/>
          <w:i w:val="0"/>
          <w:iCs w:val="0"/>
          <w:color w:val="auto"/>
        </w:rPr>
        <w:t xml:space="preserve">  </w:t>
      </w:r>
      <w:r w:rsidRPr="00A71032">
        <w:rPr>
          <w:rStyle w:val="SubtleEmphasis"/>
          <w:i w:val="0"/>
          <w:iCs w:val="0"/>
          <w:color w:val="auto"/>
        </w:rPr>
        <w:t xml:space="preserve">To ensure the right children are LAC, at the right time, delay and drift is minimised and permanence is achieved at the earliest point possible. </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Increasing numbers of children becoming LAC aged 10 and over.</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Need to increase the numbers of children adopted</w:t>
      </w:r>
    </w:p>
    <w:p w:rsidR="00972BE7" w:rsidRDefault="00972BE7" w:rsidP="00972BE7">
      <w:pPr>
        <w:rPr>
          <w:b/>
          <w:sz w:val="24"/>
          <w:szCs w:val="24"/>
          <w:u w:val="single"/>
        </w:rPr>
      </w:pPr>
    </w:p>
    <w:p w:rsidR="00972BE7" w:rsidRDefault="00972BE7" w:rsidP="00972BE7">
      <w:pPr>
        <w:rPr>
          <w:b/>
          <w:sz w:val="24"/>
          <w:szCs w:val="24"/>
          <w:u w:val="single"/>
        </w:rPr>
      </w:pPr>
      <w:r w:rsidRPr="00854CF8">
        <w:rPr>
          <w:b/>
          <w:sz w:val="24"/>
          <w:szCs w:val="24"/>
          <w:u w:val="single"/>
        </w:rPr>
        <w:t>Commissioning Priority 1</w:t>
      </w:r>
    </w:p>
    <w:p w:rsidR="00F31C0D" w:rsidRPr="00972BE7" w:rsidRDefault="00F31C0D" w:rsidP="00F31C0D">
      <w:pPr>
        <w:rPr>
          <w:sz w:val="24"/>
          <w:szCs w:val="24"/>
        </w:rPr>
      </w:pPr>
      <w:r w:rsidRPr="00972BE7">
        <w:rPr>
          <w:sz w:val="24"/>
          <w:szCs w:val="24"/>
        </w:rPr>
        <w:t>To work in par</w:t>
      </w:r>
      <w:r>
        <w:rPr>
          <w:sz w:val="24"/>
          <w:szCs w:val="24"/>
        </w:rPr>
        <w:t>t</w:t>
      </w:r>
      <w:r w:rsidRPr="00972BE7">
        <w:rPr>
          <w:sz w:val="24"/>
          <w:szCs w:val="24"/>
        </w:rPr>
        <w:t>nership with early help and edge of care services so that the right children become LAC, at the right time.</w:t>
      </w:r>
    </w:p>
    <w:p w:rsidR="00F31C0D" w:rsidRPr="00854CF8" w:rsidRDefault="00F31C0D" w:rsidP="00972BE7">
      <w:pPr>
        <w:rPr>
          <w:b/>
          <w:sz w:val="24"/>
          <w:szCs w:val="24"/>
          <w:u w:val="single"/>
        </w:rPr>
      </w:pPr>
    </w:p>
    <w:tbl>
      <w:tblPr>
        <w:tblStyle w:val="TableGrid1"/>
        <w:tblpPr w:leftFromText="180" w:rightFromText="180" w:vertAnchor="page" w:horzAnchor="margin" w:tblpY="3601"/>
        <w:tblW w:w="5089" w:type="pct"/>
        <w:tblLook w:val="04A0" w:firstRow="1" w:lastRow="0" w:firstColumn="1" w:lastColumn="0" w:noHBand="0" w:noVBand="1"/>
      </w:tblPr>
      <w:tblGrid>
        <w:gridCol w:w="2099"/>
        <w:gridCol w:w="3402"/>
        <w:gridCol w:w="2268"/>
        <w:gridCol w:w="2689"/>
        <w:gridCol w:w="912"/>
        <w:gridCol w:w="1639"/>
        <w:gridCol w:w="1417"/>
      </w:tblGrid>
      <w:tr w:rsidR="002D2F77" w:rsidRPr="00E6767F" w:rsidTr="00F31C0D">
        <w:trPr>
          <w:trHeight w:val="701"/>
        </w:trPr>
        <w:tc>
          <w:tcPr>
            <w:tcW w:w="728" w:type="pct"/>
            <w:shd w:val="clear" w:color="auto" w:fill="E5B8B7" w:themeFill="accent2" w:themeFillTint="66"/>
          </w:tcPr>
          <w:p w:rsidR="002D2F77" w:rsidRPr="00E6767F" w:rsidRDefault="002D2F77" w:rsidP="00F31C0D">
            <w:pPr>
              <w:spacing w:line="276" w:lineRule="auto"/>
              <w:rPr>
                <w:b/>
              </w:rPr>
            </w:pPr>
          </w:p>
          <w:p w:rsidR="002D2F77" w:rsidRPr="00E6767F" w:rsidRDefault="002D2F77" w:rsidP="00F31C0D">
            <w:pPr>
              <w:spacing w:line="276" w:lineRule="auto"/>
              <w:rPr>
                <w:b/>
              </w:rPr>
            </w:pPr>
            <w:r>
              <w:rPr>
                <w:b/>
              </w:rPr>
              <w:t xml:space="preserve">Outcome </w:t>
            </w:r>
          </w:p>
        </w:tc>
        <w:tc>
          <w:tcPr>
            <w:tcW w:w="1179"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Pr>
                <w:b/>
              </w:rPr>
              <w:t xml:space="preserve">Actions </w:t>
            </w:r>
          </w:p>
        </w:tc>
        <w:tc>
          <w:tcPr>
            <w:tcW w:w="786" w:type="pct"/>
            <w:shd w:val="clear" w:color="auto" w:fill="E5B8B7" w:themeFill="accent2" w:themeFillTint="66"/>
          </w:tcPr>
          <w:p w:rsidR="002D2F77" w:rsidRDefault="002D2F77" w:rsidP="00F31C0D"/>
          <w:p w:rsidR="002D2F77" w:rsidRPr="00E6767F" w:rsidRDefault="002D2F77" w:rsidP="00F31C0D">
            <w:r>
              <w:t>Targets</w:t>
            </w:r>
          </w:p>
        </w:tc>
        <w:tc>
          <w:tcPr>
            <w:tcW w:w="932"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sidRPr="00E6767F">
              <w:rPr>
                <w:b/>
              </w:rPr>
              <w:t>Performance measures</w:t>
            </w:r>
          </w:p>
        </w:tc>
        <w:tc>
          <w:tcPr>
            <w:tcW w:w="316"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sidRPr="00E6767F">
              <w:rPr>
                <w:b/>
              </w:rPr>
              <w:t>Lead</w:t>
            </w:r>
          </w:p>
        </w:tc>
        <w:tc>
          <w:tcPr>
            <w:tcW w:w="568" w:type="pct"/>
            <w:shd w:val="clear" w:color="auto" w:fill="E5B8B7" w:themeFill="accent2" w:themeFillTint="66"/>
          </w:tcPr>
          <w:p w:rsidR="002D2F77" w:rsidRDefault="002D2F77" w:rsidP="00F31C0D"/>
          <w:p w:rsidR="002D2F77" w:rsidRPr="0014780B" w:rsidRDefault="002D2F77" w:rsidP="00F31C0D">
            <w:pPr>
              <w:rPr>
                <w:b/>
              </w:rPr>
            </w:pPr>
            <w:r>
              <w:rPr>
                <w:b/>
              </w:rPr>
              <w:t>Progress</w:t>
            </w:r>
          </w:p>
        </w:tc>
        <w:tc>
          <w:tcPr>
            <w:tcW w:w="491" w:type="pct"/>
            <w:shd w:val="clear" w:color="auto" w:fill="92CDDC" w:themeFill="accent5" w:themeFillTint="99"/>
          </w:tcPr>
          <w:p w:rsidR="002D2F77" w:rsidRDefault="002D2F77" w:rsidP="00F31C0D"/>
          <w:p w:rsidR="002D2F77" w:rsidRDefault="002D2F77" w:rsidP="00F31C0D"/>
          <w:p w:rsidR="002D2F77" w:rsidRPr="00564FC9" w:rsidRDefault="002D2F77" w:rsidP="00F31C0D">
            <w:pPr>
              <w:rPr>
                <w:b/>
                <w:i/>
                <w:u w:val="single"/>
              </w:rPr>
            </w:pPr>
          </w:p>
        </w:tc>
      </w:tr>
      <w:tr w:rsidR="002D2F77" w:rsidRPr="00E6767F" w:rsidTr="00F31C0D">
        <w:trPr>
          <w:trHeight w:val="1975"/>
        </w:trPr>
        <w:tc>
          <w:tcPr>
            <w:tcW w:w="728" w:type="pct"/>
          </w:tcPr>
          <w:p w:rsidR="002D2F77" w:rsidRPr="00E6767F" w:rsidRDefault="002D2F77" w:rsidP="00F31C0D">
            <w:pPr>
              <w:spacing w:line="276" w:lineRule="auto"/>
            </w:pPr>
          </w:p>
          <w:p w:rsidR="002D2F77" w:rsidRDefault="002D2F77" w:rsidP="00F31C0D">
            <w:pPr>
              <w:widowControl w:val="0"/>
              <w:suppressAutoHyphens/>
              <w:autoSpaceDN w:val="0"/>
              <w:ind w:left="87"/>
              <w:contextualSpacing/>
              <w:textAlignment w:val="baseline"/>
            </w:pPr>
            <w:r>
              <w:t>No child is LAC unless there is no safe alternative.</w:t>
            </w:r>
          </w:p>
          <w:p w:rsidR="002D2F77" w:rsidRDefault="002D2F77" w:rsidP="00F31C0D">
            <w:pPr>
              <w:widowControl w:val="0"/>
              <w:suppressAutoHyphens/>
              <w:autoSpaceDN w:val="0"/>
              <w:ind w:left="87"/>
              <w:contextualSpacing/>
              <w:textAlignment w:val="baseline"/>
            </w:pPr>
          </w:p>
          <w:p w:rsidR="002D2F77" w:rsidRPr="00E6767F" w:rsidRDefault="002D2F77" w:rsidP="00F31C0D">
            <w:pPr>
              <w:widowControl w:val="0"/>
              <w:suppressAutoHyphens/>
              <w:autoSpaceDN w:val="0"/>
              <w:ind w:left="87"/>
              <w:contextualSpacing/>
              <w:textAlignment w:val="baseline"/>
            </w:pPr>
          </w:p>
        </w:tc>
        <w:tc>
          <w:tcPr>
            <w:tcW w:w="1179" w:type="pct"/>
          </w:tcPr>
          <w:p w:rsidR="002D2F77" w:rsidRPr="00E6767F" w:rsidRDefault="002D2F77" w:rsidP="00F31C0D">
            <w:pPr>
              <w:spacing w:line="276" w:lineRule="auto"/>
            </w:pPr>
          </w:p>
          <w:p w:rsidR="002D2F77" w:rsidRDefault="002D2F77" w:rsidP="00F31C0D">
            <w:r>
              <w:t xml:space="preserve">Identify emerging themes and gaps in provision from LARP/ Think Family </w:t>
            </w:r>
          </w:p>
          <w:p w:rsidR="002D2F77" w:rsidRDefault="002D2F77" w:rsidP="00F31C0D"/>
          <w:p w:rsidR="002D2F77" w:rsidRDefault="002D2F77" w:rsidP="00F31C0D">
            <w:r>
              <w:t>Review Care Planning processes to identify exit routes from care</w:t>
            </w:r>
          </w:p>
          <w:p w:rsidR="002D2F77" w:rsidRDefault="002D2F77" w:rsidP="00F31C0D">
            <w:r>
              <w:t>LAC review decisions and care planning processes</w:t>
            </w:r>
          </w:p>
          <w:p w:rsidR="002D2F77" w:rsidRDefault="002D2F77" w:rsidP="00F31C0D"/>
          <w:p w:rsidR="002D2F77" w:rsidRDefault="002D2F77" w:rsidP="00F31C0D">
            <w:r>
              <w:t xml:space="preserve">Review Southwark judgement protocol </w:t>
            </w:r>
          </w:p>
          <w:p w:rsidR="002D2F77" w:rsidRDefault="002D2F77" w:rsidP="00F31C0D"/>
          <w:p w:rsidR="002D2F77" w:rsidRDefault="002D2F77" w:rsidP="00F31C0D">
            <w:r>
              <w:t xml:space="preserve">Re-structure Family Placement Service  (April 2014) </w:t>
            </w:r>
          </w:p>
          <w:p w:rsidR="002D2F77" w:rsidRDefault="002D2F77" w:rsidP="00F31C0D"/>
          <w:p w:rsidR="002D2F77" w:rsidRDefault="002D2F77" w:rsidP="00F31C0D"/>
          <w:p w:rsidR="002D2F77" w:rsidRPr="00E6767F" w:rsidRDefault="002D2F77" w:rsidP="00F31C0D">
            <w:r>
              <w:t>Restructure Placement and Commissioning Service (April 2014)</w:t>
            </w:r>
          </w:p>
        </w:tc>
        <w:tc>
          <w:tcPr>
            <w:tcW w:w="786" w:type="pct"/>
          </w:tcPr>
          <w:p w:rsidR="002D2F77" w:rsidRDefault="002D2F77" w:rsidP="00F31C0D"/>
          <w:p w:rsidR="002D2F77" w:rsidRDefault="002D2F77" w:rsidP="00F31C0D">
            <w:r w:rsidRPr="000508EB">
              <w:t>Numeric reduction in the number of LAC each year by 15 – 20.</w:t>
            </w:r>
          </w:p>
          <w:p w:rsidR="002D2F77" w:rsidRDefault="002D2F77" w:rsidP="00F31C0D"/>
          <w:p w:rsidR="002D2F77" w:rsidRDefault="002D2F77" w:rsidP="00F31C0D">
            <w:r w:rsidRPr="000508EB">
              <w:t>KPI’s  NI 62 and  NI 63  show improved performance to 10%/75%</w:t>
            </w:r>
          </w:p>
          <w:p w:rsidR="002D2F77" w:rsidRDefault="002D2F77" w:rsidP="00F31C0D"/>
          <w:p w:rsidR="002D2F77" w:rsidRDefault="002D2F77" w:rsidP="00F31C0D">
            <w:r w:rsidRPr="000508EB">
              <w:t>Minimum of 40 children adopted annually and meet national thresholds for timeliness</w:t>
            </w:r>
          </w:p>
          <w:p w:rsidR="002D2F77" w:rsidRDefault="002D2F77" w:rsidP="00F31C0D"/>
          <w:p w:rsidR="002D2F77" w:rsidRDefault="002D2F77" w:rsidP="00F31C0D"/>
          <w:p w:rsidR="002D2F77" w:rsidRDefault="002D2F77" w:rsidP="00F31C0D"/>
          <w:p w:rsidR="002D2F77" w:rsidRPr="00E6767F" w:rsidRDefault="002D2F77" w:rsidP="00F31C0D">
            <w:r w:rsidRPr="000508EB">
              <w:t>10 children to exit care through  Special Guardianship Orders with their carers each year</w:t>
            </w:r>
          </w:p>
        </w:tc>
        <w:tc>
          <w:tcPr>
            <w:tcW w:w="932" w:type="pct"/>
          </w:tcPr>
          <w:p w:rsidR="002D2F77" w:rsidRPr="00E6767F" w:rsidRDefault="002D2F77" w:rsidP="00F31C0D">
            <w:pPr>
              <w:spacing w:line="276" w:lineRule="auto"/>
            </w:pPr>
          </w:p>
          <w:p w:rsidR="002D2F77" w:rsidRDefault="002D2F77" w:rsidP="00F31C0D">
            <w:pPr>
              <w:widowControl w:val="0"/>
              <w:suppressLineNumbers/>
              <w:suppressAutoHyphens/>
              <w:autoSpaceDN w:val="0"/>
              <w:ind w:left="18" w:hanging="87"/>
              <w:textAlignment w:val="baseline"/>
            </w:pPr>
            <w:r>
              <w:rPr>
                <w:rFonts w:eastAsia="SimSun" w:cs="Arial"/>
                <w:kern w:val="3"/>
                <w:sz w:val="24"/>
                <w:szCs w:val="24"/>
                <w:lang w:eastAsia="zh-CN" w:bidi="hi-IN"/>
              </w:rPr>
              <w:t xml:space="preserve"> </w:t>
            </w:r>
            <w:r w:rsidRPr="00D35849">
              <w:t>MST and Think Family outcomes.</w:t>
            </w:r>
          </w:p>
          <w:p w:rsidR="002D2F77" w:rsidRPr="00D35849" w:rsidRDefault="002D2F77" w:rsidP="00F31C0D">
            <w:pPr>
              <w:spacing w:line="276" w:lineRule="auto"/>
            </w:pPr>
          </w:p>
          <w:p w:rsidR="002D2F77" w:rsidRPr="00D35849" w:rsidRDefault="002D2F77" w:rsidP="00F31C0D">
            <w:pPr>
              <w:spacing w:line="276" w:lineRule="auto"/>
            </w:pPr>
            <w:r w:rsidRPr="00D35849">
              <w:t xml:space="preserve">Numbers of CAFs completed </w:t>
            </w:r>
          </w:p>
          <w:p w:rsidR="002D2F77" w:rsidRPr="00051B92" w:rsidRDefault="002D2F77" w:rsidP="00F31C0D">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2D2F77" w:rsidRPr="00E6767F" w:rsidRDefault="002D2F77" w:rsidP="00F31C0D">
            <w:pPr>
              <w:spacing w:line="276" w:lineRule="auto"/>
            </w:pPr>
          </w:p>
          <w:p w:rsidR="002D2F77" w:rsidRDefault="002D2F77" w:rsidP="00F31C0D">
            <w:pPr>
              <w:spacing w:line="276" w:lineRule="auto"/>
            </w:pPr>
            <w:r w:rsidRPr="00E6767F">
              <w:t>Analysis of children presented at LARP</w:t>
            </w:r>
            <w:r>
              <w:t xml:space="preserve"> on annual basis</w:t>
            </w:r>
            <w:r w:rsidRPr="00E6767F">
              <w:t>.</w:t>
            </w:r>
          </w:p>
          <w:p w:rsidR="002D2F77" w:rsidRPr="00E6767F" w:rsidRDefault="002D2F77" w:rsidP="00F31C0D">
            <w:pPr>
              <w:spacing w:line="276" w:lineRule="auto"/>
            </w:pPr>
          </w:p>
          <w:p w:rsidR="002D2F77" w:rsidRDefault="002D2F77" w:rsidP="00F31C0D">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2D2F77" w:rsidRDefault="002D2F77" w:rsidP="00F31C0D">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2D2F77" w:rsidRDefault="002D2F77" w:rsidP="00F31C0D">
            <w:pPr>
              <w:widowControl w:val="0"/>
              <w:suppressLineNumbers/>
              <w:suppressAutoHyphens/>
              <w:autoSpaceDN w:val="0"/>
              <w:ind w:left="18"/>
              <w:textAlignment w:val="baseline"/>
            </w:pPr>
          </w:p>
          <w:p w:rsidR="002D2F77" w:rsidRPr="00D35849" w:rsidRDefault="002D2F77" w:rsidP="00F31C0D">
            <w:pPr>
              <w:widowControl w:val="0"/>
              <w:suppressLineNumbers/>
              <w:suppressAutoHyphens/>
              <w:autoSpaceDN w:val="0"/>
              <w:ind w:left="18"/>
              <w:textAlignment w:val="baseline"/>
              <w:rPr>
                <w:rFonts w:eastAsia="SimSun" w:cs="Arial"/>
                <w:kern w:val="3"/>
                <w:sz w:val="24"/>
                <w:szCs w:val="24"/>
                <w:lang w:eastAsia="zh-CN" w:bidi="hi-IN"/>
              </w:rPr>
            </w:pPr>
          </w:p>
          <w:p w:rsidR="002D2F77" w:rsidRPr="00E6767F" w:rsidRDefault="002D2F77" w:rsidP="00F31C0D">
            <w:pPr>
              <w:widowControl w:val="0"/>
              <w:suppressLineNumbers/>
              <w:suppressAutoHyphens/>
              <w:autoSpaceDN w:val="0"/>
              <w:ind w:left="18"/>
              <w:textAlignment w:val="baseline"/>
            </w:pPr>
          </w:p>
        </w:tc>
        <w:tc>
          <w:tcPr>
            <w:tcW w:w="316" w:type="pct"/>
          </w:tcPr>
          <w:p w:rsidR="002D2F77" w:rsidRPr="00E6767F" w:rsidRDefault="002D2F77" w:rsidP="00F31C0D">
            <w:pPr>
              <w:spacing w:line="276" w:lineRule="auto"/>
            </w:pPr>
          </w:p>
          <w:p w:rsidR="002D2F77" w:rsidRDefault="002D2F77" w:rsidP="00F31C0D">
            <w:pPr>
              <w:spacing w:line="276" w:lineRule="auto"/>
            </w:pPr>
            <w:r w:rsidRPr="00E6767F">
              <w:t>Head of Service, LAC</w:t>
            </w:r>
          </w:p>
          <w:p w:rsidR="002D2F77" w:rsidRPr="00E6767F" w:rsidRDefault="002D2F77" w:rsidP="00F31C0D">
            <w:pPr>
              <w:widowControl w:val="0"/>
              <w:suppressLineNumbers/>
              <w:suppressAutoHyphens/>
              <w:autoSpaceDN w:val="0"/>
              <w:ind w:left="87"/>
              <w:textAlignment w:val="baseline"/>
            </w:pPr>
          </w:p>
        </w:tc>
        <w:tc>
          <w:tcPr>
            <w:tcW w:w="568" w:type="pct"/>
          </w:tcPr>
          <w:p w:rsidR="002D2F77" w:rsidRPr="006A1852" w:rsidRDefault="002D2F77" w:rsidP="00F31C0D"/>
          <w:p w:rsidR="002D2F77" w:rsidRPr="006A1852" w:rsidRDefault="002D2F77" w:rsidP="00F31C0D">
            <w:r w:rsidRPr="006A1852">
              <w:t>LARP is embedded in practice</w:t>
            </w:r>
          </w:p>
          <w:p w:rsidR="002D2F77" w:rsidRPr="006A1852" w:rsidRDefault="002D2F77" w:rsidP="00F31C0D"/>
          <w:p w:rsidR="002D2F77" w:rsidRPr="006A1852" w:rsidRDefault="002D2F77" w:rsidP="00F31C0D">
            <w:r w:rsidRPr="006A1852">
              <w:t>MST data evidences success in diverting children from care</w:t>
            </w:r>
          </w:p>
          <w:p w:rsidR="002D2F77" w:rsidRPr="006A1852" w:rsidRDefault="002D2F77" w:rsidP="00F31C0D"/>
          <w:p w:rsidR="002D2F77" w:rsidRPr="006A1852" w:rsidRDefault="002D2F77" w:rsidP="00F31C0D">
            <w:r w:rsidRPr="006A1852">
              <w:t>Genograms and chronologies, to inform pre-proceedings work, are improving</w:t>
            </w:r>
          </w:p>
          <w:p w:rsidR="002D2F77" w:rsidRPr="006A1852" w:rsidRDefault="002D2F77" w:rsidP="00F31C0D"/>
          <w:p w:rsidR="002D2F77" w:rsidRPr="006A1852" w:rsidRDefault="002D2F77" w:rsidP="00F31C0D">
            <w:r w:rsidRPr="006A1852">
              <w:t>Care planning and tracking processes embedded in practice</w:t>
            </w:r>
          </w:p>
          <w:p w:rsidR="002D2F77" w:rsidRPr="006A1852" w:rsidRDefault="002D2F77" w:rsidP="00F31C0D"/>
          <w:p w:rsidR="002D2F77" w:rsidRPr="000508EB" w:rsidRDefault="002D2F77" w:rsidP="00F31C0D">
            <w:pPr>
              <w:widowControl w:val="0"/>
              <w:suppressAutoHyphens/>
              <w:autoSpaceDN w:val="0"/>
              <w:ind w:hanging="61"/>
              <w:contextualSpacing/>
              <w:textAlignment w:val="baseline"/>
              <w:rPr>
                <w:rFonts w:ascii="Arial" w:eastAsia="SimSun" w:hAnsi="Arial" w:cs="Arial"/>
                <w:color w:val="000000" w:themeColor="text1"/>
                <w:kern w:val="3"/>
                <w:sz w:val="24"/>
                <w:szCs w:val="21"/>
                <w:lang w:eastAsia="zh-CN" w:bidi="hi-IN"/>
              </w:rPr>
            </w:pPr>
            <w:r w:rsidRPr="000508EB">
              <w:rPr>
                <w:color w:val="000000" w:themeColor="text1"/>
              </w:rPr>
              <w:t>Review of Section 20 admissions due January 2014</w:t>
            </w:r>
            <w:r>
              <w:rPr>
                <w:rFonts w:ascii="Arial" w:eastAsia="SimSun" w:hAnsi="Arial" w:cs="Arial"/>
                <w:color w:val="000000" w:themeColor="text1"/>
                <w:kern w:val="3"/>
                <w:sz w:val="24"/>
                <w:szCs w:val="21"/>
                <w:lang w:eastAsia="zh-CN" w:bidi="hi-IN"/>
              </w:rPr>
              <w:t>.</w:t>
            </w:r>
          </w:p>
          <w:p w:rsidR="002D2F77" w:rsidRPr="006A1852" w:rsidRDefault="002D2F77" w:rsidP="00F31C0D"/>
        </w:tc>
        <w:tc>
          <w:tcPr>
            <w:tcW w:w="491" w:type="pct"/>
          </w:tcPr>
          <w:p w:rsidR="002D2F77" w:rsidRPr="006A1852" w:rsidRDefault="002D2F77" w:rsidP="00F31C0D"/>
          <w:p w:rsidR="002D2F77" w:rsidRPr="006A1852" w:rsidRDefault="002D2F77" w:rsidP="00F31C0D">
            <w:r w:rsidRPr="006A1852">
              <w:t xml:space="preserve">By end of </w:t>
            </w:r>
            <w:r>
              <w:t xml:space="preserve">April </w:t>
            </w:r>
            <w:r w:rsidRPr="006A1852">
              <w:t>201</w:t>
            </w:r>
            <w:r>
              <w:t>5</w:t>
            </w:r>
          </w:p>
        </w:tc>
      </w:tr>
    </w:tbl>
    <w:p w:rsidR="00BF4987" w:rsidRPr="00AB5CD1" w:rsidRDefault="00BF4987" w:rsidP="00BF4987">
      <w:pPr>
        <w:spacing w:after="0" w:line="240" w:lineRule="auto"/>
        <w:rPr>
          <w:rFonts w:ascii="Arial" w:hAnsi="Arial" w:cs="Arial"/>
          <w:b/>
          <w:bCs/>
          <w:sz w:val="24"/>
          <w:szCs w:val="24"/>
        </w:rPr>
      </w:pPr>
    </w:p>
    <w:p w:rsidR="00BF4987" w:rsidRPr="00EF0ABC" w:rsidRDefault="00BF4987" w:rsidP="00BF4987">
      <w:pPr>
        <w:rPr>
          <w:b/>
          <w:sz w:val="24"/>
        </w:rPr>
      </w:pPr>
      <w:r w:rsidRPr="00EF0ABC">
        <w:rPr>
          <w:b/>
          <w:sz w:val="24"/>
          <w:u w:val="single"/>
        </w:rPr>
        <w:t>Commissioning Priority 2</w:t>
      </w:r>
      <w:r w:rsidR="00854CF8" w:rsidRPr="00EF0ABC">
        <w:rPr>
          <w:b/>
          <w:sz w:val="24"/>
          <w:u w:val="single"/>
        </w:rPr>
        <w:t xml:space="preserve">   </w:t>
      </w:r>
    </w:p>
    <w:p w:rsidR="00BF4987" w:rsidRPr="00972BE7" w:rsidRDefault="00BF4987" w:rsidP="00BF4987">
      <w:pPr>
        <w:rPr>
          <w:sz w:val="24"/>
          <w:szCs w:val="24"/>
        </w:rPr>
      </w:pPr>
      <w:r w:rsidRPr="00972BE7">
        <w:rPr>
          <w:sz w:val="24"/>
          <w:szCs w:val="24"/>
        </w:rPr>
        <w:t xml:space="preserve">To have sufficient high quality placements that provide consistently good and </w:t>
      </w:r>
      <w:r w:rsidR="00674370" w:rsidRPr="00972BE7">
        <w:rPr>
          <w:sz w:val="24"/>
          <w:szCs w:val="24"/>
        </w:rPr>
        <w:t>outstanding stable</w:t>
      </w:r>
      <w:r w:rsidRPr="00972BE7">
        <w:rPr>
          <w:sz w:val="24"/>
          <w:szCs w:val="24"/>
        </w:rPr>
        <w:t xml:space="preserve"> care to children so their assessed needs are met and children achieve to their full potential.   </w:t>
      </w:r>
    </w:p>
    <w:tbl>
      <w:tblPr>
        <w:tblStyle w:val="TableGrid2"/>
        <w:tblW w:w="5073" w:type="pct"/>
        <w:tblLook w:val="04A0" w:firstRow="1" w:lastRow="0" w:firstColumn="1" w:lastColumn="0" w:noHBand="0" w:noVBand="1"/>
      </w:tblPr>
      <w:tblGrid>
        <w:gridCol w:w="2094"/>
        <w:gridCol w:w="3408"/>
        <w:gridCol w:w="2269"/>
        <w:gridCol w:w="2692"/>
        <w:gridCol w:w="932"/>
        <w:gridCol w:w="1694"/>
        <w:gridCol w:w="1292"/>
      </w:tblGrid>
      <w:tr w:rsidR="00BF4987" w:rsidRPr="00E6767F" w:rsidTr="00C83F1D">
        <w:tc>
          <w:tcPr>
            <w:tcW w:w="728" w:type="pct"/>
            <w:shd w:val="clear" w:color="auto" w:fill="E5B8B7" w:themeFill="accent2" w:themeFillTint="66"/>
          </w:tcPr>
          <w:p w:rsidR="00BF4987" w:rsidRPr="00E6767F" w:rsidRDefault="00BF4987" w:rsidP="00A61D51">
            <w:pPr>
              <w:rPr>
                <w:b/>
              </w:rPr>
            </w:pPr>
          </w:p>
          <w:p w:rsidR="00BF4987" w:rsidRPr="00E6767F" w:rsidRDefault="00BF4987" w:rsidP="00A61D51">
            <w:pPr>
              <w:rPr>
                <w:b/>
              </w:rPr>
            </w:pPr>
            <w:r>
              <w:rPr>
                <w:b/>
              </w:rPr>
              <w:t>Outcome</w:t>
            </w:r>
          </w:p>
          <w:p w:rsidR="00BF4987" w:rsidRPr="00E6767F" w:rsidRDefault="00BF4987" w:rsidP="00A61D51">
            <w:pPr>
              <w:rPr>
                <w:b/>
              </w:rPr>
            </w:pPr>
          </w:p>
        </w:tc>
        <w:tc>
          <w:tcPr>
            <w:tcW w:w="1185" w:type="pct"/>
            <w:shd w:val="clear" w:color="auto" w:fill="E5B8B7" w:themeFill="accent2" w:themeFillTint="66"/>
          </w:tcPr>
          <w:p w:rsidR="00BF4987" w:rsidRPr="00E6767F" w:rsidRDefault="00BF4987" w:rsidP="00A61D51">
            <w:pPr>
              <w:rPr>
                <w:b/>
              </w:rPr>
            </w:pPr>
          </w:p>
          <w:p w:rsidR="00BF4987" w:rsidRPr="00E6767F" w:rsidRDefault="00BF4987" w:rsidP="00A61D51">
            <w:pPr>
              <w:rPr>
                <w:b/>
              </w:rPr>
            </w:pPr>
            <w:r>
              <w:rPr>
                <w:b/>
              </w:rPr>
              <w:t xml:space="preserve">Actions </w:t>
            </w:r>
          </w:p>
        </w:tc>
        <w:tc>
          <w:tcPr>
            <w:tcW w:w="789" w:type="pct"/>
            <w:shd w:val="clear" w:color="auto" w:fill="E5B8B7" w:themeFill="accent2" w:themeFillTint="66"/>
          </w:tcPr>
          <w:p w:rsidR="00BF4987" w:rsidRPr="00E6767F" w:rsidRDefault="00BF4987" w:rsidP="00A61D51"/>
          <w:p w:rsidR="00BF4987" w:rsidRPr="00E6767F" w:rsidRDefault="00BF4987" w:rsidP="00A61D51">
            <w:pPr>
              <w:rPr>
                <w:b/>
              </w:rPr>
            </w:pPr>
            <w:r>
              <w:rPr>
                <w:b/>
              </w:rPr>
              <w:t xml:space="preserve">Targets </w:t>
            </w:r>
          </w:p>
        </w:tc>
        <w:tc>
          <w:tcPr>
            <w:tcW w:w="936" w:type="pct"/>
            <w:shd w:val="clear" w:color="auto" w:fill="E5B8B7" w:themeFill="accent2" w:themeFillTint="66"/>
          </w:tcPr>
          <w:p w:rsidR="00BF4987" w:rsidRPr="00E6767F" w:rsidRDefault="00BF4987" w:rsidP="00A61D51"/>
          <w:p w:rsidR="00BF4987" w:rsidRPr="00E6767F" w:rsidRDefault="00BF4987" w:rsidP="00A61D51">
            <w:pPr>
              <w:rPr>
                <w:b/>
              </w:rPr>
            </w:pPr>
            <w:r w:rsidRPr="00E6767F">
              <w:rPr>
                <w:b/>
              </w:rPr>
              <w:t>Performance measures</w:t>
            </w:r>
          </w:p>
        </w:tc>
        <w:tc>
          <w:tcPr>
            <w:tcW w:w="324" w:type="pct"/>
            <w:shd w:val="clear" w:color="auto" w:fill="E5B8B7" w:themeFill="accent2" w:themeFillTint="66"/>
          </w:tcPr>
          <w:p w:rsidR="00BF4987" w:rsidRPr="00E6767F" w:rsidRDefault="00BF4987" w:rsidP="00A61D51"/>
          <w:p w:rsidR="00BF4987" w:rsidRPr="00E6767F" w:rsidRDefault="00BF4987" w:rsidP="00A61D51">
            <w:pPr>
              <w:rPr>
                <w:b/>
              </w:rPr>
            </w:pPr>
            <w:r w:rsidRPr="0014780B">
              <w:rPr>
                <w:b/>
              </w:rPr>
              <w:t>Lead</w:t>
            </w:r>
          </w:p>
        </w:tc>
        <w:tc>
          <w:tcPr>
            <w:tcW w:w="589" w:type="pct"/>
            <w:shd w:val="clear" w:color="auto" w:fill="E5B8B7" w:themeFill="accent2" w:themeFillTint="66"/>
          </w:tcPr>
          <w:p w:rsidR="00BF4987" w:rsidRDefault="00BF4987" w:rsidP="00A61D51"/>
          <w:p w:rsidR="00BF4987" w:rsidRPr="0014780B" w:rsidRDefault="00BF4987" w:rsidP="00A61D51">
            <w:pPr>
              <w:rPr>
                <w:b/>
              </w:rPr>
            </w:pPr>
            <w:r w:rsidRPr="0014780B">
              <w:rPr>
                <w:b/>
              </w:rPr>
              <w:t>Progress</w:t>
            </w:r>
          </w:p>
        </w:tc>
        <w:tc>
          <w:tcPr>
            <w:tcW w:w="449" w:type="pct"/>
            <w:shd w:val="clear" w:color="auto" w:fill="E5B8B7" w:themeFill="accent2" w:themeFillTint="66"/>
          </w:tcPr>
          <w:p w:rsidR="00BF4987" w:rsidRDefault="00BF4987" w:rsidP="00A61D51"/>
          <w:p w:rsidR="00BF4987" w:rsidRPr="0014780B" w:rsidRDefault="00BF4987" w:rsidP="00A61D51">
            <w:pPr>
              <w:rPr>
                <w:b/>
              </w:rPr>
            </w:pPr>
            <w:r w:rsidRPr="0014780B">
              <w:rPr>
                <w:b/>
              </w:rPr>
              <w:t>Timescale</w:t>
            </w:r>
          </w:p>
        </w:tc>
      </w:tr>
      <w:tr w:rsidR="00BF4987" w:rsidRPr="00E6767F" w:rsidTr="00C83F1D">
        <w:tc>
          <w:tcPr>
            <w:tcW w:w="728" w:type="pct"/>
          </w:tcPr>
          <w:p w:rsidR="00BF4987" w:rsidRDefault="00BF4987" w:rsidP="00A61D51"/>
          <w:p w:rsidR="00BF4987" w:rsidRDefault="009D296C" w:rsidP="00A61D51">
            <w:r>
              <w:t>Increase the numbers of</w:t>
            </w:r>
            <w:r w:rsidR="00BF4987">
              <w:t xml:space="preserve"> children adopted </w:t>
            </w:r>
          </w:p>
          <w:p w:rsidR="00BF4987" w:rsidRDefault="00BF4987" w:rsidP="00A61D51"/>
          <w:p w:rsidR="00BF4987" w:rsidRDefault="00BF4987" w:rsidP="00A61D51">
            <w:r w:rsidRPr="009D6BC8">
              <w:t>To increase the numbers of foster carers able to provide placements to older LAC</w:t>
            </w:r>
          </w:p>
          <w:p w:rsidR="009539EE" w:rsidRDefault="009539EE" w:rsidP="00A61D51"/>
          <w:p w:rsidR="009539EE" w:rsidRDefault="009539EE" w:rsidP="009539EE">
            <w:r>
              <w:t xml:space="preserve">Increased placement choice and matching.  </w:t>
            </w:r>
          </w:p>
          <w:p w:rsidR="009539EE" w:rsidRDefault="009539EE" w:rsidP="009539EE"/>
          <w:p w:rsidR="009539EE" w:rsidRPr="00E6767F" w:rsidRDefault="009539EE" w:rsidP="009539EE">
            <w:r>
              <w:t>Improved permanence and stability.</w:t>
            </w:r>
          </w:p>
        </w:tc>
        <w:tc>
          <w:tcPr>
            <w:tcW w:w="1185" w:type="pct"/>
          </w:tcPr>
          <w:p w:rsidR="00BF4987" w:rsidRPr="00E6767F" w:rsidRDefault="00BF4987" w:rsidP="00A61D51">
            <w:pPr>
              <w:rPr>
                <w:u w:val="single"/>
              </w:rPr>
            </w:pPr>
          </w:p>
          <w:p w:rsidR="00BF4987" w:rsidRDefault="00BF4987" w:rsidP="00A61D51">
            <w:r w:rsidRPr="00E6767F">
              <w:t>Target recruitment of carers to meet emerging needs</w:t>
            </w:r>
            <w:r>
              <w:t>, particularly children aged 12 and over, sibling groups, and mother and baby placements</w:t>
            </w:r>
            <w:r w:rsidRPr="00E6767F">
              <w:t>.</w:t>
            </w:r>
          </w:p>
          <w:p w:rsidR="00BF4987" w:rsidRDefault="00BF4987" w:rsidP="00A61D51"/>
          <w:p w:rsidR="00BF4987" w:rsidRDefault="00BF4987" w:rsidP="00A61D51">
            <w:r>
              <w:t xml:space="preserve">Change Foster Carer  approval  to 0-19 </w:t>
            </w:r>
          </w:p>
          <w:p w:rsidR="00BF4987" w:rsidRDefault="00BF4987" w:rsidP="00A61D51"/>
          <w:p w:rsidR="00BF4987" w:rsidRDefault="00BF4987" w:rsidP="00A61D51">
            <w:r>
              <w:lastRenderedPageBreak/>
              <w:t>Target Child specific foster carer / adopter recruitment</w:t>
            </w:r>
          </w:p>
          <w:p w:rsidR="00BF4987" w:rsidRDefault="00BF4987" w:rsidP="00A61D51"/>
          <w:p w:rsidR="00BF4987" w:rsidRDefault="00BF4987" w:rsidP="00A61D51">
            <w:r>
              <w:t>Review foster carer payment structure to incentivise foster carers to provide placements for remand, emergency and disabled children placements.</w:t>
            </w:r>
          </w:p>
          <w:p w:rsidR="00BF4987" w:rsidRDefault="00BF4987" w:rsidP="00A61D51"/>
          <w:p w:rsidR="00BF4987" w:rsidRDefault="00BF4987" w:rsidP="00A61D51">
            <w:r>
              <w:t xml:space="preserve">Participate in </w:t>
            </w:r>
            <w:r w:rsidRPr="00E6767F">
              <w:t xml:space="preserve">Regional partnerships and consortia to </w:t>
            </w:r>
            <w:r>
              <w:t xml:space="preserve">enhance Adoption for Hard to adopt Children </w:t>
            </w:r>
          </w:p>
          <w:p w:rsidR="00BF4987" w:rsidRDefault="00BF4987" w:rsidP="00A61D51"/>
          <w:p w:rsidR="00BF4987" w:rsidRPr="00E6767F" w:rsidRDefault="00BF4987" w:rsidP="00A61D51"/>
          <w:p w:rsidR="00BF4987" w:rsidRDefault="00BF4987" w:rsidP="00A61D51">
            <w:r>
              <w:t>Review Care Planning processes to identify exit routes from care</w:t>
            </w:r>
          </w:p>
          <w:p w:rsidR="00BF4987" w:rsidRDefault="00BF4987" w:rsidP="00A61D51">
            <w:r>
              <w:t>LAC review decisions and care planning processes</w:t>
            </w:r>
          </w:p>
          <w:p w:rsidR="009539EE" w:rsidRPr="00E6767F" w:rsidRDefault="009539EE" w:rsidP="00A61D51"/>
          <w:p w:rsidR="00BF4987" w:rsidRDefault="00BF4987" w:rsidP="00A61D51">
            <w:r w:rsidRPr="00E6767F">
              <w:t xml:space="preserve">Children are not placed in external provision that is not judged good or outstanding.  </w:t>
            </w:r>
          </w:p>
          <w:p w:rsidR="00BF4987" w:rsidRDefault="00BF4987" w:rsidP="00A61D51"/>
          <w:p w:rsidR="00BF4987" w:rsidRPr="00E6767F" w:rsidRDefault="00BF4987" w:rsidP="00A61D51"/>
          <w:p w:rsidR="00BF4987" w:rsidRDefault="00BF4987" w:rsidP="00A61D51">
            <w:r w:rsidRPr="00E6767F">
              <w:t xml:space="preserve">Implement the Residential Care </w:t>
            </w:r>
            <w:r>
              <w:t>I</w:t>
            </w:r>
            <w:r w:rsidRPr="00E6767F">
              <w:t xml:space="preserve">mprovement plan. </w:t>
            </w:r>
          </w:p>
          <w:p w:rsidR="00BF4987" w:rsidRPr="00E6767F" w:rsidRDefault="00BF4987" w:rsidP="00A61D51"/>
          <w:p w:rsidR="00BF4987" w:rsidRDefault="00BF4987" w:rsidP="00A61D51">
            <w:r w:rsidRPr="00E6767F">
              <w:lastRenderedPageBreak/>
              <w:t xml:space="preserve">Implement the </w:t>
            </w:r>
            <w:r>
              <w:t>Adoption</w:t>
            </w:r>
            <w:r w:rsidRPr="00E6767F">
              <w:t xml:space="preserve"> </w:t>
            </w:r>
            <w:r>
              <w:t>I</w:t>
            </w:r>
            <w:r w:rsidRPr="00E6767F">
              <w:t>mprovement plan</w:t>
            </w:r>
            <w:r>
              <w:t>.</w:t>
            </w:r>
            <w:r w:rsidRPr="00E6767F">
              <w:t xml:space="preserve"> </w:t>
            </w:r>
          </w:p>
          <w:p w:rsidR="00BF4987" w:rsidRDefault="00BF4987" w:rsidP="00A61D51"/>
          <w:p w:rsidR="00BF4987" w:rsidRDefault="009539EE" w:rsidP="00A61D51">
            <w:r w:rsidRPr="009539EE">
              <w:t>Review and revise current policies in relation to Special Guardianship Orders, to include financial support to former foster carers</w:t>
            </w:r>
          </w:p>
          <w:p w:rsidR="009539EE" w:rsidRDefault="009539EE" w:rsidP="00A61D51"/>
          <w:p w:rsidR="00BF4987" w:rsidRPr="00651910" w:rsidRDefault="00BF4987" w:rsidP="00A61D51">
            <w:pPr>
              <w:widowControl w:val="0"/>
              <w:suppressLineNumbers/>
              <w:suppressAutoHyphens/>
              <w:autoSpaceDN w:val="0"/>
              <w:contextualSpacing/>
              <w:textAlignment w:val="baseline"/>
              <w:rPr>
                <w:rFonts w:eastAsia="SimSun" w:cs="Arial"/>
                <w:kern w:val="3"/>
                <w:lang w:eastAsia="zh-CN" w:bidi="hi-IN"/>
              </w:rPr>
            </w:pPr>
            <w:r w:rsidRPr="00651910">
              <w:rPr>
                <w:rFonts w:eastAsia="SimSun" w:cs="Arial"/>
                <w:kern w:val="3"/>
                <w:lang w:eastAsia="zh-CN" w:bidi="hi-IN"/>
              </w:rPr>
              <w:t>Reorganisation of fostering service structure around recruitment, assessment and placement support.</w:t>
            </w:r>
          </w:p>
          <w:p w:rsidR="00BF4987" w:rsidRPr="00651910" w:rsidRDefault="00BF4987" w:rsidP="00A61D51">
            <w:pPr>
              <w:widowControl w:val="0"/>
              <w:suppressLineNumbers/>
              <w:suppressAutoHyphens/>
              <w:autoSpaceDN w:val="0"/>
              <w:contextualSpacing/>
              <w:textAlignment w:val="baseline"/>
              <w:rPr>
                <w:rFonts w:eastAsia="SimSun" w:cs="Arial"/>
                <w:kern w:val="3"/>
                <w:lang w:eastAsia="zh-CN" w:bidi="hi-IN"/>
              </w:rPr>
            </w:pPr>
          </w:p>
          <w:p w:rsidR="00BF4987" w:rsidRPr="00651910" w:rsidRDefault="00BF4987" w:rsidP="00A61D51">
            <w:pPr>
              <w:widowControl w:val="0"/>
              <w:suppressLineNumbers/>
              <w:suppressAutoHyphens/>
              <w:autoSpaceDN w:val="0"/>
              <w:textAlignment w:val="baseline"/>
              <w:rPr>
                <w:rFonts w:eastAsia="SimSun" w:cs="Arial"/>
                <w:kern w:val="3"/>
                <w:lang w:eastAsia="zh-CN" w:bidi="hi-IN"/>
              </w:rPr>
            </w:pPr>
            <w:r>
              <w:rPr>
                <w:rFonts w:eastAsia="SimSun" w:cs="Arial"/>
                <w:kern w:val="3"/>
                <w:lang w:eastAsia="zh-CN" w:bidi="hi-IN"/>
              </w:rPr>
              <w:t xml:space="preserve">Apply PLO and ensure participation </w:t>
            </w:r>
            <w:r w:rsidRPr="00651910">
              <w:rPr>
                <w:rFonts w:eastAsia="SimSun" w:cs="Arial"/>
                <w:kern w:val="3"/>
                <w:lang w:eastAsia="zh-CN" w:bidi="hi-IN"/>
              </w:rPr>
              <w:t>in</w:t>
            </w:r>
            <w:r>
              <w:rPr>
                <w:rFonts w:eastAsia="SimSun" w:cs="Arial"/>
                <w:kern w:val="3"/>
                <w:lang w:eastAsia="zh-CN" w:bidi="hi-IN"/>
              </w:rPr>
              <w:t xml:space="preserve"> </w:t>
            </w:r>
            <w:r w:rsidRPr="00651910">
              <w:rPr>
                <w:rFonts w:eastAsia="SimSun" w:cs="Arial"/>
                <w:kern w:val="3"/>
                <w:lang w:eastAsia="zh-CN" w:bidi="hi-IN"/>
              </w:rPr>
              <w:t xml:space="preserve">all possible kinship options and identify all children requiring permanent placements prior to care entry who will not be adopted. </w:t>
            </w:r>
          </w:p>
          <w:p w:rsidR="00BF4987" w:rsidRPr="00651910" w:rsidRDefault="00BF4987" w:rsidP="00A61D51">
            <w:pPr>
              <w:widowControl w:val="0"/>
              <w:suppressLineNumbers/>
              <w:suppressAutoHyphens/>
              <w:autoSpaceDN w:val="0"/>
              <w:ind w:left="370"/>
              <w:textAlignment w:val="baseline"/>
              <w:rPr>
                <w:rFonts w:eastAsia="SimSun" w:cs="Arial"/>
                <w:kern w:val="3"/>
                <w:lang w:eastAsia="zh-CN" w:bidi="hi-IN"/>
              </w:rPr>
            </w:pPr>
          </w:p>
          <w:p w:rsidR="00BF4987" w:rsidRDefault="00BF4987" w:rsidP="00A61D51">
            <w:pPr>
              <w:rPr>
                <w:rFonts w:eastAsia="SimSun" w:cs="Arial"/>
                <w:kern w:val="3"/>
                <w:lang w:eastAsia="zh-CN" w:bidi="hi-IN"/>
              </w:rPr>
            </w:pPr>
            <w:r>
              <w:rPr>
                <w:rFonts w:eastAsia="SimSun" w:cs="Arial"/>
                <w:kern w:val="3"/>
                <w:lang w:eastAsia="zh-CN" w:bidi="hi-IN"/>
              </w:rPr>
              <w:t xml:space="preserve">Focus </w:t>
            </w:r>
            <w:r w:rsidRPr="00DE05F0">
              <w:rPr>
                <w:rFonts w:eastAsia="SimSun" w:cs="Arial"/>
                <w:kern w:val="3"/>
                <w:lang w:eastAsia="zh-CN" w:bidi="hi-IN"/>
              </w:rPr>
              <w:t>Increase fostering recruitment budget</w:t>
            </w:r>
            <w:r>
              <w:rPr>
                <w:rFonts w:eastAsia="SimSun" w:cs="Arial"/>
                <w:kern w:val="3"/>
                <w:lang w:eastAsia="zh-CN" w:bidi="hi-IN"/>
              </w:rPr>
              <w:t xml:space="preserve"> of</w:t>
            </w:r>
            <w:r w:rsidRPr="00DE05F0">
              <w:rPr>
                <w:rFonts w:eastAsia="SimSun" w:cs="Arial"/>
                <w:kern w:val="3"/>
                <w:lang w:eastAsia="zh-CN" w:bidi="hi-IN"/>
              </w:rPr>
              <w:t xml:space="preserve"> TV, IT, and social media, including internet advertising</w:t>
            </w:r>
          </w:p>
          <w:p w:rsidR="00BF4987" w:rsidRDefault="00BF4987" w:rsidP="00A61D51">
            <w:pPr>
              <w:rPr>
                <w:rFonts w:eastAsia="SimSun" w:cs="Arial"/>
                <w:kern w:val="3"/>
                <w:lang w:eastAsia="zh-CN" w:bidi="hi-IN"/>
              </w:rPr>
            </w:pPr>
          </w:p>
          <w:p w:rsidR="00BF4987" w:rsidRDefault="00BF4987" w:rsidP="00A61D51">
            <w:r w:rsidRPr="00B941C3">
              <w:t>Review foster carer payment structure to incentivise fostering of older children.</w:t>
            </w:r>
          </w:p>
          <w:p w:rsidR="00BF4987" w:rsidRPr="00B941C3" w:rsidRDefault="00BF4987" w:rsidP="00A61D51"/>
          <w:p w:rsidR="00BF4987" w:rsidRDefault="00BF4987" w:rsidP="00A61D51">
            <w:r w:rsidRPr="00B941C3">
              <w:t>Target</w:t>
            </w:r>
            <w:r>
              <w:t xml:space="preserve"> </w:t>
            </w:r>
            <w:r w:rsidRPr="00B941C3">
              <w:t xml:space="preserve"> permanent placement support by CFST</w:t>
            </w:r>
          </w:p>
          <w:p w:rsidR="00BF4987" w:rsidRPr="00B941C3" w:rsidRDefault="00BF4987" w:rsidP="00A61D51"/>
          <w:p w:rsidR="00BF4987" w:rsidRPr="00B941C3" w:rsidRDefault="00BF4987" w:rsidP="00A61D51">
            <w:r w:rsidRPr="009D6BC8">
              <w:t>Embedded  coordination and protocols with YOS for remand of young people</w:t>
            </w:r>
          </w:p>
        </w:tc>
        <w:tc>
          <w:tcPr>
            <w:tcW w:w="789" w:type="pct"/>
          </w:tcPr>
          <w:p w:rsidR="00BF4987" w:rsidRPr="00E6767F" w:rsidRDefault="00BF4987" w:rsidP="00A61D51">
            <w:pPr>
              <w:rPr>
                <w:u w:val="single"/>
              </w:rPr>
            </w:pPr>
          </w:p>
          <w:p w:rsidR="00BF4987" w:rsidRPr="00E6767F" w:rsidRDefault="00394E94" w:rsidP="00A61D51">
            <w:r>
              <w:t xml:space="preserve">Net increase </w:t>
            </w:r>
            <w:r w:rsidR="00BF4987" w:rsidRPr="009D6BC8">
              <w:t xml:space="preserve"> total foster carer population (increase 10 p.a.) to 280 by 2017</w:t>
            </w:r>
          </w:p>
          <w:p w:rsidR="00BF4987" w:rsidRDefault="00BF4987" w:rsidP="00A61D51"/>
          <w:p w:rsidR="00BF4987" w:rsidRDefault="00BF4987" w:rsidP="00A61D51">
            <w:r>
              <w:t>Net increase per annum of 10 fostering households</w:t>
            </w:r>
            <w:r w:rsidRPr="00E6767F">
              <w:t xml:space="preserve"> </w:t>
            </w:r>
          </w:p>
          <w:p w:rsidR="00BF4987" w:rsidRDefault="00BF4987" w:rsidP="00A61D51"/>
          <w:p w:rsidR="00BF4987" w:rsidRDefault="00BF4987" w:rsidP="00A61D51">
            <w:r>
              <w:t>All foster carers have children in placement, unless there are specific reasons why this is not appropriate (100% occupancy rate)</w:t>
            </w:r>
          </w:p>
          <w:p w:rsidR="00BF4987" w:rsidRDefault="00BF4987" w:rsidP="00A61D51"/>
          <w:p w:rsidR="00BF4987" w:rsidRDefault="00C206C3" w:rsidP="00A61D51">
            <w:r w:rsidRPr="009539EE">
              <w:t>Increased</w:t>
            </w:r>
            <w:r w:rsidR="009539EE" w:rsidRPr="009539EE">
              <w:t xml:space="preserve"> numbers of children SGO permanence </w:t>
            </w:r>
            <w:r>
              <w:t xml:space="preserve">by 10 </w:t>
            </w:r>
            <w:r w:rsidR="009539EE" w:rsidRPr="009539EE">
              <w:t>per annum.</w:t>
            </w:r>
          </w:p>
          <w:p w:rsidR="00BF4987" w:rsidRDefault="00BF4987" w:rsidP="00A61D51">
            <w:pPr>
              <w:rPr>
                <w:color w:val="FF0000"/>
              </w:rPr>
            </w:pPr>
          </w:p>
          <w:p w:rsidR="00BF4987" w:rsidRDefault="00BF4987" w:rsidP="00A61D51">
            <w:pPr>
              <w:rPr>
                <w:u w:val="single"/>
              </w:rPr>
            </w:pPr>
          </w:p>
          <w:p w:rsidR="00BF4987" w:rsidRPr="009D6BC8" w:rsidRDefault="00BF4987" w:rsidP="00A61D51"/>
        </w:tc>
        <w:tc>
          <w:tcPr>
            <w:tcW w:w="936" w:type="pct"/>
          </w:tcPr>
          <w:p w:rsidR="00BF4987" w:rsidRPr="00E6767F" w:rsidRDefault="00BF4987" w:rsidP="00A61D51">
            <w:pPr>
              <w:rPr>
                <w:u w:val="single"/>
              </w:rPr>
            </w:pPr>
          </w:p>
          <w:p w:rsidR="00BF4987" w:rsidRPr="00E6767F" w:rsidRDefault="00BF4987" w:rsidP="00A61D51">
            <w:r w:rsidRPr="00E6767F">
              <w:t xml:space="preserve">Ofsted inspection outcomes </w:t>
            </w:r>
          </w:p>
          <w:p w:rsidR="00BF4987" w:rsidRPr="00E6767F" w:rsidRDefault="00BF4987" w:rsidP="00A61D51"/>
          <w:p w:rsidR="00BF4987" w:rsidRPr="00E6767F" w:rsidRDefault="00BF4987" w:rsidP="00A61D51">
            <w:r w:rsidRPr="00E6767F">
              <w:t>Attainment at key stages in education</w:t>
            </w:r>
          </w:p>
          <w:p w:rsidR="00BF4987" w:rsidRPr="00E6767F" w:rsidRDefault="00BF4987" w:rsidP="00A61D51"/>
          <w:p w:rsidR="00BF4987" w:rsidRPr="00E6767F" w:rsidRDefault="00BF4987" w:rsidP="00A61D51">
            <w:r w:rsidRPr="00E6767F">
              <w:t>SDQ scores NI 58</w:t>
            </w:r>
          </w:p>
          <w:p w:rsidR="00BF4987" w:rsidRPr="00E6767F" w:rsidRDefault="00BF4987" w:rsidP="00A61D51"/>
          <w:p w:rsidR="00BF4987" w:rsidRPr="00E6767F" w:rsidRDefault="00BF4987" w:rsidP="00A61D51">
            <w:r w:rsidRPr="00E6767F">
              <w:t>Placement stability</w:t>
            </w:r>
            <w:r>
              <w:t xml:space="preserve"> NI62</w:t>
            </w:r>
          </w:p>
          <w:p w:rsidR="00BF4987" w:rsidRPr="00E6767F" w:rsidRDefault="00BF4987" w:rsidP="00A61D51"/>
          <w:p w:rsidR="00BF4987" w:rsidRDefault="00BF4987" w:rsidP="00A61D51">
            <w:r w:rsidRPr="00E6767F">
              <w:t>3+ Placement moves</w:t>
            </w:r>
            <w:r>
              <w:t xml:space="preserve"> NI63</w:t>
            </w:r>
          </w:p>
          <w:p w:rsidR="00BF4987" w:rsidRPr="00E6767F" w:rsidRDefault="00BF4987" w:rsidP="00A61D51"/>
          <w:p w:rsidR="00BF4987" w:rsidRPr="00E6767F" w:rsidRDefault="00BF4987" w:rsidP="00A61D51">
            <w:r w:rsidRPr="00E6767F">
              <w:t>Care leavers in suitable accommodation.</w:t>
            </w:r>
          </w:p>
          <w:p w:rsidR="00BF4987" w:rsidRPr="00E6767F" w:rsidRDefault="00BF4987" w:rsidP="00A61D51"/>
          <w:p w:rsidR="00BF4987" w:rsidRDefault="00BF4987" w:rsidP="00A61D51">
            <w:r w:rsidRPr="009D6BC8">
              <w:t>Children report they are safe and feel safe in their placements</w:t>
            </w:r>
          </w:p>
          <w:p w:rsidR="00BF4987" w:rsidRDefault="00BF4987" w:rsidP="00A61D51"/>
          <w:p w:rsidR="00BF4987" w:rsidRDefault="00BF4987" w:rsidP="00A61D51"/>
          <w:p w:rsidR="00BF4987" w:rsidRDefault="00BF4987" w:rsidP="00A61D51">
            <w:r>
              <w:t xml:space="preserve">Occupancy rates </w:t>
            </w:r>
          </w:p>
          <w:p w:rsidR="00BF4987" w:rsidRDefault="00BF4987" w:rsidP="00A61D51"/>
          <w:p w:rsidR="00BF4987" w:rsidRDefault="00BF4987" w:rsidP="00A61D51">
            <w:r>
              <w:t>CIPFA data</w:t>
            </w:r>
          </w:p>
          <w:p w:rsidR="00BF4987" w:rsidRDefault="00BF4987" w:rsidP="00A61D51"/>
          <w:p w:rsidR="00BF4987" w:rsidRPr="00E6767F" w:rsidRDefault="00BF4987" w:rsidP="00A61D51">
            <w:r>
              <w:t>Adoption scorecard</w:t>
            </w:r>
          </w:p>
          <w:p w:rsidR="00BF4987" w:rsidRPr="00E6767F" w:rsidRDefault="00BF4987" w:rsidP="00A61D51">
            <w:r w:rsidRPr="00E6767F">
              <w:t xml:space="preserve"> </w:t>
            </w:r>
          </w:p>
        </w:tc>
        <w:tc>
          <w:tcPr>
            <w:tcW w:w="324" w:type="pct"/>
          </w:tcPr>
          <w:p w:rsidR="00BF4987" w:rsidRPr="00E6767F" w:rsidRDefault="00BF4987" w:rsidP="00A61D51"/>
          <w:p w:rsidR="00BF4987" w:rsidRPr="00E6767F" w:rsidRDefault="00BF4987" w:rsidP="00A61D51">
            <w:r w:rsidRPr="00E6767F">
              <w:t>Head of Service, LAC</w:t>
            </w:r>
          </w:p>
          <w:p w:rsidR="00BF4987" w:rsidRPr="00E6767F" w:rsidRDefault="00BF4987" w:rsidP="00A61D51"/>
          <w:p w:rsidR="00BF4987" w:rsidRPr="00E6767F" w:rsidRDefault="00BF4987" w:rsidP="00A61D51"/>
          <w:p w:rsidR="00BF4987" w:rsidRPr="00E6767F" w:rsidRDefault="00BF4987" w:rsidP="00A61D51"/>
          <w:p w:rsidR="00BF4987" w:rsidRPr="00E6767F" w:rsidRDefault="00BF4987" w:rsidP="00A61D51"/>
        </w:tc>
        <w:tc>
          <w:tcPr>
            <w:tcW w:w="589" w:type="pct"/>
          </w:tcPr>
          <w:p w:rsidR="00BF4987" w:rsidRDefault="00BF4987" w:rsidP="00A61D51"/>
          <w:p w:rsidR="00BF4987" w:rsidRDefault="00BF4987" w:rsidP="00A61D51">
            <w:r>
              <w:t>Recruitment campaigns take place regularly</w:t>
            </w:r>
          </w:p>
          <w:p w:rsidR="00BF4987" w:rsidRDefault="00BF4987" w:rsidP="00A61D51"/>
          <w:p w:rsidR="00BF4987" w:rsidRDefault="00BF4987" w:rsidP="00A61D51">
            <w:r>
              <w:t xml:space="preserve">Improvement required in numbers of assessments that result in </w:t>
            </w:r>
            <w:r>
              <w:lastRenderedPageBreak/>
              <w:t>approvals</w:t>
            </w:r>
          </w:p>
          <w:p w:rsidR="00BF4987" w:rsidRDefault="00BF4987" w:rsidP="00A61D51"/>
          <w:p w:rsidR="00BF4987" w:rsidRDefault="00BF4987" w:rsidP="00A61D51">
            <w:r>
              <w:t>Revised regional commissioning framework being considered. Leicester City to consider whether this will improve efficiencies.</w:t>
            </w:r>
          </w:p>
          <w:p w:rsidR="00BF4987" w:rsidRDefault="00BF4987" w:rsidP="00A61D51"/>
          <w:p w:rsidR="00BF4987" w:rsidRPr="00E6767F" w:rsidRDefault="00BF4987" w:rsidP="00A61D51">
            <w:r>
              <w:t xml:space="preserve">Review of 3 + placement moves due in </w:t>
            </w:r>
            <w:r w:rsidRPr="009539EE">
              <w:rPr>
                <w:color w:val="000000" w:themeColor="text1"/>
              </w:rPr>
              <w:t>March 2014</w:t>
            </w:r>
            <w:r w:rsidRPr="00D87F62">
              <w:rPr>
                <w:color w:val="FF0000"/>
              </w:rPr>
              <w:t>.</w:t>
            </w:r>
          </w:p>
        </w:tc>
        <w:tc>
          <w:tcPr>
            <w:tcW w:w="449" w:type="pct"/>
          </w:tcPr>
          <w:p w:rsidR="00BF4987" w:rsidRDefault="00BF4987" w:rsidP="00A61D51"/>
          <w:p w:rsidR="00BF4987" w:rsidRPr="00E6767F" w:rsidRDefault="00BF4987" w:rsidP="00A61D51">
            <w:r>
              <w:t>By end of March 2015, with incremental actions during that time frame</w:t>
            </w:r>
          </w:p>
        </w:tc>
      </w:tr>
    </w:tbl>
    <w:p w:rsidR="00BF4987" w:rsidRDefault="00BF4987" w:rsidP="00BF4987">
      <w:pPr>
        <w:rPr>
          <w:u w:val="single"/>
        </w:rPr>
      </w:pPr>
    </w:p>
    <w:p w:rsidR="00BF4987" w:rsidRPr="00674370" w:rsidRDefault="00674370" w:rsidP="00BF4987">
      <w:pPr>
        <w:rPr>
          <w:b/>
          <w:sz w:val="24"/>
          <w:u w:val="single"/>
        </w:rPr>
      </w:pPr>
      <w:r w:rsidRPr="00674370">
        <w:rPr>
          <w:b/>
          <w:sz w:val="24"/>
          <w:u w:val="single"/>
        </w:rPr>
        <w:t>Commissioning Priority 3</w:t>
      </w:r>
    </w:p>
    <w:p w:rsidR="00BF4987" w:rsidRPr="00972BE7" w:rsidRDefault="00BF4987" w:rsidP="00BF4987">
      <w:pPr>
        <w:rPr>
          <w:sz w:val="24"/>
          <w:szCs w:val="24"/>
        </w:rPr>
      </w:pPr>
      <w:r w:rsidRPr="00972BE7">
        <w:rPr>
          <w:sz w:val="24"/>
          <w:szCs w:val="24"/>
        </w:rPr>
        <w:t>To meet the needs of severely disabled children, including those with mental health needs.</w:t>
      </w:r>
    </w:p>
    <w:tbl>
      <w:tblPr>
        <w:tblStyle w:val="TableGrid"/>
        <w:tblW w:w="5089" w:type="pct"/>
        <w:tblLook w:val="04A0" w:firstRow="1" w:lastRow="0" w:firstColumn="1" w:lastColumn="0" w:noHBand="0" w:noVBand="1"/>
      </w:tblPr>
      <w:tblGrid>
        <w:gridCol w:w="2093"/>
        <w:gridCol w:w="3403"/>
        <w:gridCol w:w="2268"/>
        <w:gridCol w:w="2692"/>
        <w:gridCol w:w="993"/>
        <w:gridCol w:w="1699"/>
        <w:gridCol w:w="1278"/>
      </w:tblGrid>
      <w:tr w:rsidR="00BF4987" w:rsidTr="00C83F1D">
        <w:tc>
          <w:tcPr>
            <w:tcW w:w="725"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Outcome </w:t>
            </w:r>
          </w:p>
        </w:tc>
        <w:tc>
          <w:tcPr>
            <w:tcW w:w="1179" w:type="pct"/>
            <w:shd w:val="clear" w:color="auto" w:fill="E5B8B7" w:themeFill="accent2" w:themeFillTint="66"/>
          </w:tcPr>
          <w:p w:rsidR="00BF4987" w:rsidRDefault="00BF4987" w:rsidP="00A61D51"/>
          <w:p w:rsidR="00BF4987" w:rsidRPr="00110DC9" w:rsidRDefault="00BF4987" w:rsidP="00A61D51">
            <w:pPr>
              <w:rPr>
                <w:b/>
              </w:rPr>
            </w:pPr>
            <w:r>
              <w:rPr>
                <w:b/>
              </w:rPr>
              <w:t>Action</w:t>
            </w:r>
          </w:p>
        </w:tc>
        <w:tc>
          <w:tcPr>
            <w:tcW w:w="786" w:type="pct"/>
            <w:shd w:val="clear" w:color="auto" w:fill="E5B8B7" w:themeFill="accent2" w:themeFillTint="66"/>
          </w:tcPr>
          <w:p w:rsidR="00BF4987" w:rsidRDefault="00BF4987" w:rsidP="00A61D51"/>
          <w:p w:rsidR="00BF4987" w:rsidRDefault="00BF4987" w:rsidP="00A61D51">
            <w:r>
              <w:t xml:space="preserve">Targets </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sidRPr="006A1852">
              <w:rPr>
                <w:b/>
              </w:rPr>
              <w:t>Progress</w:t>
            </w:r>
          </w:p>
        </w:tc>
        <w:tc>
          <w:tcPr>
            <w:tcW w:w="443" w:type="pct"/>
            <w:shd w:val="clear" w:color="auto" w:fill="E5B8B7" w:themeFill="accent2" w:themeFillTint="66"/>
          </w:tcPr>
          <w:p w:rsidR="00BF4987" w:rsidRDefault="00BF4987" w:rsidP="00A61D51">
            <w:pPr>
              <w:rPr>
                <w:b/>
              </w:rPr>
            </w:pPr>
          </w:p>
          <w:p w:rsidR="00BF4987" w:rsidRPr="006A1852" w:rsidRDefault="00BF4987" w:rsidP="00A61D51">
            <w:pPr>
              <w:rPr>
                <w:b/>
              </w:rPr>
            </w:pPr>
            <w:r>
              <w:rPr>
                <w:b/>
              </w:rPr>
              <w:t xml:space="preserve">Timescale </w:t>
            </w:r>
          </w:p>
        </w:tc>
      </w:tr>
      <w:tr w:rsidR="00BF4987" w:rsidTr="00674370">
        <w:tc>
          <w:tcPr>
            <w:tcW w:w="725" w:type="pct"/>
          </w:tcPr>
          <w:p w:rsidR="00BF4987" w:rsidRDefault="00BF4987" w:rsidP="00A61D51">
            <w:r>
              <w:tab/>
            </w:r>
          </w:p>
          <w:p w:rsidR="00BF4987" w:rsidRDefault="00BF4987" w:rsidP="00A61D51">
            <w:r>
              <w:t> </w:t>
            </w:r>
          </w:p>
          <w:p w:rsidR="00BF4987" w:rsidRDefault="00BF4987" w:rsidP="00A61D51">
            <w:r>
              <w:t>Greater take up of short breaks resulting in less young people in full time placements</w:t>
            </w:r>
          </w:p>
          <w:p w:rsidR="00BF4987" w:rsidRDefault="00BF4987" w:rsidP="00A61D51"/>
          <w:p w:rsidR="00BF4987" w:rsidRDefault="009D296C" w:rsidP="00A61D51">
            <w:r>
              <w:t xml:space="preserve">Reduce the number of </w:t>
            </w:r>
            <w:r w:rsidR="00BF4987">
              <w:t>people placed outside of the local authority</w:t>
            </w:r>
          </w:p>
          <w:p w:rsidR="00BF4987" w:rsidRDefault="00BF4987" w:rsidP="00A61D51"/>
          <w:p w:rsidR="00BF4987" w:rsidRDefault="00BF4987" w:rsidP="00A61D51">
            <w:r>
              <w:t>Reduction in social care sole funding of placements for disabled children.</w:t>
            </w:r>
          </w:p>
          <w:p w:rsidR="00BF4987" w:rsidRDefault="00BF4987" w:rsidP="00A61D51"/>
          <w:p w:rsidR="00BF4987" w:rsidRPr="0051076B" w:rsidRDefault="00BF4987" w:rsidP="00A61D51">
            <w:r>
              <w:t>Joint commissioning or pooled budgets available in some circumstances where the assessed need and/ or risks are very complex.</w:t>
            </w:r>
          </w:p>
        </w:tc>
        <w:tc>
          <w:tcPr>
            <w:tcW w:w="1179" w:type="pct"/>
          </w:tcPr>
          <w:p w:rsidR="00BF4987" w:rsidRDefault="00BF4987" w:rsidP="00A61D51"/>
          <w:p w:rsidR="009D296C" w:rsidRDefault="009D296C" w:rsidP="00A61D51"/>
          <w:p w:rsidR="00BF4987" w:rsidRDefault="00BF4987" w:rsidP="00A61D51">
            <w:r>
              <w:t xml:space="preserve">Target </w:t>
            </w:r>
            <w:r w:rsidR="009D296C">
              <w:t xml:space="preserve">Foster Care </w:t>
            </w:r>
            <w:r>
              <w:t xml:space="preserve">recruitment for disabled children   </w:t>
            </w:r>
          </w:p>
          <w:p w:rsidR="00BF4987" w:rsidRDefault="00BF4987" w:rsidP="00A61D51"/>
          <w:p w:rsidR="00BF4987" w:rsidRDefault="00BF4987" w:rsidP="00A61D51"/>
          <w:p w:rsidR="00BF4987" w:rsidRDefault="00BF4987" w:rsidP="00A61D51">
            <w:r>
              <w:t xml:space="preserve">Maintain a  range of placements available in house, including long term foster care and residential provision  </w:t>
            </w:r>
          </w:p>
          <w:p w:rsidR="00BF4987" w:rsidRDefault="00BF4987" w:rsidP="00A61D51"/>
          <w:p w:rsidR="00BF4987" w:rsidRDefault="00BF4987" w:rsidP="00A61D51">
            <w:r>
              <w:t xml:space="preserve">Undertake a Needs analysis in </w:t>
            </w:r>
            <w:r>
              <w:lastRenderedPageBreak/>
              <w:t>respect of autistic teenage boys and girls with extreme self-harm behaviour</w:t>
            </w:r>
          </w:p>
          <w:p w:rsidR="00BF4987" w:rsidRDefault="00BF4987" w:rsidP="00A61D51"/>
          <w:p w:rsidR="00BF4987" w:rsidRDefault="00BF4987" w:rsidP="00A61D51">
            <w:r>
              <w:t>Identify Child specific foster carer / adopter recruitment.</w:t>
            </w:r>
          </w:p>
          <w:p w:rsidR="00BF4987" w:rsidRDefault="00BF4987" w:rsidP="00A61D51"/>
          <w:p w:rsidR="00BF4987" w:rsidRDefault="00BF4987" w:rsidP="00A61D51">
            <w:r>
              <w:t>Create home adaptations budget to enable to be made to facilitate placement of disabled children, or bedroom partition.</w:t>
            </w:r>
          </w:p>
          <w:p w:rsidR="00BF4987" w:rsidRDefault="00BF4987" w:rsidP="00A61D51"/>
          <w:p w:rsidR="00BF4987" w:rsidRDefault="009539EE" w:rsidP="00A61D51">
            <w:r>
              <w:t>P</w:t>
            </w:r>
            <w:r w:rsidR="00BF4987">
              <w:t>rovide training and support to foster carers of disabled children</w:t>
            </w:r>
          </w:p>
          <w:p w:rsidR="00BF4987" w:rsidRDefault="00BF4987" w:rsidP="00A61D51"/>
          <w:p w:rsidR="00BF4987" w:rsidRDefault="009539EE" w:rsidP="00A61D51">
            <w:r>
              <w:t xml:space="preserve">Utilise staff with specific knowledge  as part of  </w:t>
            </w:r>
            <w:r w:rsidR="00BF4987">
              <w:t xml:space="preserve"> foster carer assessment to ensure specialist knowledge is available to fostering recruitment and assessment teams</w:t>
            </w:r>
          </w:p>
          <w:p w:rsidR="00BF4987" w:rsidRDefault="00BF4987" w:rsidP="00A61D51"/>
          <w:p w:rsidR="00BF4987" w:rsidRDefault="00BF4987" w:rsidP="00A61D51"/>
          <w:p w:rsidR="00BF4987" w:rsidRDefault="00BF4987" w:rsidP="00A61D51">
            <w:pPr>
              <w:rPr>
                <w:u w:val="single"/>
              </w:rPr>
            </w:pPr>
          </w:p>
        </w:tc>
        <w:tc>
          <w:tcPr>
            <w:tcW w:w="786" w:type="pct"/>
          </w:tcPr>
          <w:p w:rsidR="00BF4987" w:rsidRDefault="00BF4987" w:rsidP="00A61D51"/>
          <w:p w:rsidR="009539EE" w:rsidRDefault="009539EE" w:rsidP="00A61D51"/>
          <w:p w:rsidR="009539EE" w:rsidRDefault="009539EE" w:rsidP="009539EE">
            <w:r>
              <w:t xml:space="preserve">Maximise 100% short breaks at Barnes Heath House </w:t>
            </w:r>
          </w:p>
          <w:p w:rsidR="009539EE" w:rsidRDefault="009539EE" w:rsidP="009539EE"/>
          <w:p w:rsidR="009539EE" w:rsidRPr="00D459AB" w:rsidRDefault="00C206C3" w:rsidP="00C206C3">
            <w:r>
              <w:t xml:space="preserve"> </w:t>
            </w:r>
            <w:r w:rsidR="009539EE">
              <w:t xml:space="preserve"> </w:t>
            </w:r>
          </w:p>
        </w:tc>
        <w:tc>
          <w:tcPr>
            <w:tcW w:w="933" w:type="pct"/>
          </w:tcPr>
          <w:p w:rsidR="00BF4987" w:rsidRPr="00D459AB" w:rsidRDefault="00BF4987" w:rsidP="00BF4987">
            <w:pPr>
              <w:pStyle w:val="ListParagraph"/>
              <w:numPr>
                <w:ilvl w:val="0"/>
                <w:numId w:val="14"/>
              </w:numPr>
              <w:ind w:left="220" w:hanging="220"/>
            </w:pPr>
            <w:r w:rsidRPr="00D459AB">
              <w:t>Corporate parenting forum reports</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 xml:space="preserve">CICC and Pledge review </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Short breaks referral service</w:t>
            </w:r>
          </w:p>
          <w:p w:rsidR="00BF4987" w:rsidRPr="00D459AB" w:rsidRDefault="00BF4987" w:rsidP="00A61D51">
            <w:pPr>
              <w:ind w:left="220" w:hanging="220"/>
            </w:pPr>
          </w:p>
          <w:p w:rsidR="00BF4987" w:rsidRPr="00D459AB" w:rsidRDefault="00BF4987" w:rsidP="00BF4987">
            <w:pPr>
              <w:pStyle w:val="ListParagraph"/>
              <w:numPr>
                <w:ilvl w:val="0"/>
                <w:numId w:val="14"/>
              </w:numPr>
              <w:ind w:left="220" w:hanging="220"/>
            </w:pPr>
            <w:r w:rsidRPr="00D459AB">
              <w:t>Fostering panel</w:t>
            </w:r>
            <w:r>
              <w:t xml:space="preserve"> approvals</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 xml:space="preserve">Placement decision </w:t>
            </w:r>
            <w:r w:rsidRPr="00D459AB">
              <w:lastRenderedPageBreak/>
              <w:t>group/Joint solution forum</w:t>
            </w:r>
          </w:p>
          <w:p w:rsidR="00BF4987" w:rsidRPr="00D459AB" w:rsidRDefault="00BF4987" w:rsidP="00A61D51">
            <w:pPr>
              <w:pStyle w:val="ListParagraph"/>
              <w:ind w:hanging="720"/>
            </w:pPr>
          </w:p>
          <w:p w:rsidR="00BF4987" w:rsidRPr="00D459AB" w:rsidRDefault="00BF4987" w:rsidP="00BF4987">
            <w:pPr>
              <w:pStyle w:val="ListParagraph"/>
              <w:numPr>
                <w:ilvl w:val="0"/>
                <w:numId w:val="14"/>
              </w:numPr>
              <w:ind w:left="220" w:hanging="220"/>
            </w:pPr>
            <w:r w:rsidRPr="00D459AB">
              <w:t>LAC review</w:t>
            </w:r>
            <w:r>
              <w:t xml:space="preserve"> decisions </w:t>
            </w:r>
          </w:p>
          <w:p w:rsidR="00BF4987" w:rsidRPr="00D459AB" w:rsidRDefault="00BF4987" w:rsidP="00A61D51">
            <w:pPr>
              <w:pStyle w:val="ListParagraph"/>
              <w:ind w:left="220" w:hanging="220"/>
            </w:pPr>
          </w:p>
          <w:p w:rsidR="00BF4987" w:rsidRDefault="00BF4987" w:rsidP="00A61D51">
            <w:pPr>
              <w:rPr>
                <w:u w:val="single"/>
              </w:rPr>
            </w:pPr>
          </w:p>
        </w:tc>
        <w:tc>
          <w:tcPr>
            <w:tcW w:w="344" w:type="pct"/>
          </w:tcPr>
          <w:p w:rsidR="00BF4987" w:rsidRPr="0051076B" w:rsidRDefault="00BF4987" w:rsidP="00A61D51">
            <w:pPr>
              <w:rPr>
                <w:u w:val="single"/>
              </w:rPr>
            </w:pPr>
          </w:p>
          <w:p w:rsidR="00BF4987" w:rsidRPr="0051076B" w:rsidRDefault="00BF4987" w:rsidP="00A61D51">
            <w:pPr>
              <w:rPr>
                <w:u w:val="single"/>
              </w:rPr>
            </w:pPr>
            <w:r w:rsidRPr="0051076B">
              <w:t xml:space="preserve">Head of Service, LAC </w:t>
            </w:r>
          </w:p>
        </w:tc>
        <w:tc>
          <w:tcPr>
            <w:tcW w:w="589" w:type="pct"/>
          </w:tcPr>
          <w:p w:rsidR="00BF4987" w:rsidRPr="006A1852" w:rsidRDefault="00BF4987" w:rsidP="00A61D51"/>
          <w:p w:rsidR="00BF4987" w:rsidRDefault="00BF4987" w:rsidP="00A61D51">
            <w:r w:rsidRPr="006A1852">
              <w:t>Short breaks are provided for children under S17</w:t>
            </w:r>
          </w:p>
          <w:p w:rsidR="00BF4987" w:rsidRDefault="00BF4987" w:rsidP="00A61D51"/>
          <w:p w:rsidR="00BF4987" w:rsidRDefault="00BF4987" w:rsidP="00A61D51">
            <w:r>
              <w:t>Health and education fund a small number of complex cases</w:t>
            </w:r>
          </w:p>
          <w:p w:rsidR="00BF4987" w:rsidRDefault="00BF4987" w:rsidP="00A61D51"/>
          <w:p w:rsidR="00BF4987" w:rsidRDefault="00BF4987" w:rsidP="00A61D51">
            <w:r>
              <w:lastRenderedPageBreak/>
              <w:t>PDG process may  be incorporated into care planning panel</w:t>
            </w:r>
          </w:p>
          <w:p w:rsidR="00BF4987" w:rsidRDefault="00BF4987" w:rsidP="00A61D51"/>
          <w:p w:rsidR="00BF4987" w:rsidRDefault="00BF4987" w:rsidP="00A61D51">
            <w:r>
              <w:t>JSF meeting regularly to review and agree funding arrangements</w:t>
            </w:r>
          </w:p>
          <w:p w:rsidR="00BF4987" w:rsidRDefault="00BF4987" w:rsidP="00A61D51"/>
          <w:p w:rsidR="00BF4987" w:rsidRDefault="00BF4987" w:rsidP="00A61D51">
            <w:r>
              <w:t>CAMHS Commissioning and Performance Group to undertake work on high need groups</w:t>
            </w:r>
          </w:p>
          <w:p w:rsidR="00BF4987" w:rsidRPr="006A1852" w:rsidRDefault="00BF4987" w:rsidP="00A61D51">
            <w:r>
              <w:t xml:space="preserve">  </w:t>
            </w:r>
          </w:p>
        </w:tc>
        <w:tc>
          <w:tcPr>
            <w:tcW w:w="443" w:type="pct"/>
          </w:tcPr>
          <w:p w:rsidR="00BF4987" w:rsidRDefault="00BF4987" w:rsidP="00A61D51"/>
          <w:p w:rsidR="00C206C3" w:rsidRDefault="00C206C3" w:rsidP="00A61D51">
            <w:r>
              <w:t>January 2015</w:t>
            </w:r>
          </w:p>
          <w:p w:rsidR="00C206C3" w:rsidRDefault="00C206C3" w:rsidP="00A61D51"/>
          <w:p w:rsidR="00C206C3" w:rsidRDefault="00C206C3" w:rsidP="00A61D51"/>
          <w:p w:rsidR="00C206C3" w:rsidRDefault="00C206C3" w:rsidP="00A61D51"/>
          <w:p w:rsidR="00C206C3" w:rsidRDefault="00C206C3" w:rsidP="00A61D51"/>
          <w:p w:rsidR="00C206C3" w:rsidRPr="006A1852" w:rsidRDefault="00C206C3" w:rsidP="00A61D51"/>
        </w:tc>
      </w:tr>
    </w:tbl>
    <w:p w:rsidR="00674370" w:rsidRDefault="00674370" w:rsidP="00BF4987">
      <w:pPr>
        <w:rPr>
          <w:b/>
          <w:sz w:val="24"/>
          <w:u w:val="single"/>
        </w:rPr>
      </w:pPr>
    </w:p>
    <w:p w:rsidR="00674370" w:rsidRDefault="00674370" w:rsidP="00BF4987">
      <w:pPr>
        <w:rPr>
          <w:b/>
          <w:sz w:val="24"/>
          <w:u w:val="single"/>
        </w:rPr>
      </w:pPr>
    </w:p>
    <w:p w:rsidR="00BF4987" w:rsidRPr="00674370" w:rsidRDefault="00BF4987" w:rsidP="00BF4987">
      <w:pPr>
        <w:rPr>
          <w:b/>
          <w:sz w:val="24"/>
          <w:u w:val="single"/>
        </w:rPr>
      </w:pPr>
      <w:r w:rsidRPr="00674370">
        <w:rPr>
          <w:b/>
          <w:sz w:val="24"/>
          <w:u w:val="single"/>
        </w:rPr>
        <w:lastRenderedPageBreak/>
        <w:t xml:space="preserve">Commissioning Priority 4 </w:t>
      </w:r>
    </w:p>
    <w:p w:rsidR="00BF4987" w:rsidRPr="00972BE7" w:rsidRDefault="00BF4987" w:rsidP="00BF4987">
      <w:pPr>
        <w:rPr>
          <w:sz w:val="24"/>
          <w:szCs w:val="24"/>
        </w:rPr>
      </w:pPr>
      <w:r w:rsidRPr="00972BE7">
        <w:rPr>
          <w:sz w:val="24"/>
          <w:szCs w:val="24"/>
        </w:rPr>
        <w:t>To consider options for securing suitable accommodation for 16+ young people and care leavers</w:t>
      </w:r>
    </w:p>
    <w:tbl>
      <w:tblPr>
        <w:tblStyle w:val="TableGrid"/>
        <w:tblW w:w="5089" w:type="pct"/>
        <w:tblLook w:val="04A0" w:firstRow="1" w:lastRow="0" w:firstColumn="1" w:lastColumn="0" w:noHBand="0" w:noVBand="1"/>
      </w:tblPr>
      <w:tblGrid>
        <w:gridCol w:w="2029"/>
        <w:gridCol w:w="3466"/>
        <w:gridCol w:w="2269"/>
        <w:gridCol w:w="2692"/>
        <w:gridCol w:w="993"/>
        <w:gridCol w:w="1699"/>
        <w:gridCol w:w="1278"/>
      </w:tblGrid>
      <w:tr w:rsidR="00BF4987" w:rsidTr="00C83F1D">
        <w:tc>
          <w:tcPr>
            <w:tcW w:w="703"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Outcome </w:t>
            </w:r>
          </w:p>
          <w:p w:rsidR="00BF4987" w:rsidRPr="00110DC9" w:rsidRDefault="00BF4987" w:rsidP="00A61D51">
            <w:pPr>
              <w:rPr>
                <w:b/>
              </w:rPr>
            </w:pPr>
          </w:p>
        </w:tc>
        <w:tc>
          <w:tcPr>
            <w:tcW w:w="1201"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Actions </w:t>
            </w:r>
          </w:p>
        </w:tc>
        <w:tc>
          <w:tcPr>
            <w:tcW w:w="786" w:type="pct"/>
            <w:shd w:val="clear" w:color="auto" w:fill="E5B8B7" w:themeFill="accent2" w:themeFillTint="66"/>
          </w:tcPr>
          <w:p w:rsidR="00BF4987" w:rsidRDefault="00BF4987" w:rsidP="00A61D51"/>
          <w:p w:rsidR="00BF4987" w:rsidRPr="00110DC9" w:rsidRDefault="00BF4987" w:rsidP="00A61D51">
            <w:pPr>
              <w:rPr>
                <w:b/>
              </w:rPr>
            </w:pPr>
            <w:r>
              <w:rPr>
                <w:b/>
              </w:rPr>
              <w:t>Targets</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sidRPr="006A1852">
              <w:rPr>
                <w:b/>
              </w:rPr>
              <w:t xml:space="preserve">Progress </w:t>
            </w:r>
          </w:p>
        </w:tc>
        <w:tc>
          <w:tcPr>
            <w:tcW w:w="443"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Pr>
                <w:b/>
              </w:rPr>
              <w:t>Timescales</w:t>
            </w:r>
          </w:p>
        </w:tc>
      </w:tr>
      <w:tr w:rsidR="00BF4987" w:rsidTr="00674370">
        <w:tc>
          <w:tcPr>
            <w:tcW w:w="703" w:type="pct"/>
          </w:tcPr>
          <w:p w:rsidR="00BF4987" w:rsidRDefault="00BF4987" w:rsidP="00A61D51">
            <w:pPr>
              <w:rPr>
                <w:u w:val="single"/>
              </w:rPr>
            </w:pPr>
          </w:p>
          <w:p w:rsidR="00BF4987" w:rsidRDefault="00BF4987" w:rsidP="00A61D51">
            <w:r>
              <w:t xml:space="preserve">Accommodation that meets the needs of this group, and results in improved outcomes in education, training and employment, health, substance misuse, teenage pregnancy </w:t>
            </w:r>
          </w:p>
          <w:p w:rsidR="00BF4987" w:rsidRDefault="00BF4987" w:rsidP="00A61D51"/>
          <w:p w:rsidR="00BF4987" w:rsidRDefault="00BF4987" w:rsidP="00A61D51">
            <w:r w:rsidRPr="00BC4753">
              <w:t>Implement the Leaving care Strategy</w:t>
            </w:r>
          </w:p>
          <w:p w:rsidR="00BF4987" w:rsidRDefault="00BF4987" w:rsidP="00A61D51"/>
          <w:p w:rsidR="00BF4987" w:rsidRDefault="00BF4987" w:rsidP="00A61D51">
            <w:r>
              <w:t xml:space="preserve">To provide value for money, high quality provision in a range </w:t>
            </w:r>
            <w:r>
              <w:lastRenderedPageBreak/>
              <w:t>of settings</w:t>
            </w:r>
          </w:p>
          <w:p w:rsidR="00BF4987" w:rsidRDefault="00BF4987" w:rsidP="00A61D51"/>
          <w:p w:rsidR="00BF4987" w:rsidRDefault="00BF4987" w:rsidP="00A61D51">
            <w:pPr>
              <w:rPr>
                <w:u w:val="single"/>
              </w:rPr>
            </w:pPr>
            <w:r>
              <w:t>To meet the needs of unaccompanied asylum seeking children, teenage parents, and those at risk of child sexual exploitation , domestic abuse or honour based violence</w:t>
            </w:r>
          </w:p>
        </w:tc>
        <w:tc>
          <w:tcPr>
            <w:tcW w:w="1201" w:type="pct"/>
          </w:tcPr>
          <w:p w:rsidR="00BF4987" w:rsidRDefault="00BF4987" w:rsidP="00A61D51">
            <w:pPr>
              <w:rPr>
                <w:u w:val="single"/>
              </w:rPr>
            </w:pPr>
          </w:p>
          <w:p w:rsidR="00BF4987" w:rsidRPr="00E638FC" w:rsidRDefault="00BF4987" w:rsidP="00A61D51">
            <w:r>
              <w:t xml:space="preserve">Complete </w:t>
            </w:r>
            <w:r w:rsidRPr="00E638FC">
              <w:t>Project work to be in light of outcomes of the Homelessness Review</w:t>
            </w:r>
            <w:r>
              <w:t xml:space="preserve"> to include </w:t>
            </w:r>
          </w:p>
          <w:p w:rsidR="00BF4987" w:rsidRDefault="00BF4987" w:rsidP="00A61D51"/>
          <w:p w:rsidR="00BF4987" w:rsidRDefault="00BF4987" w:rsidP="00A61D51">
            <w:r>
              <w:t xml:space="preserve">Implement  </w:t>
            </w:r>
            <w:r w:rsidRPr="002773F7">
              <w:t xml:space="preserve"> Staying Put policy </w:t>
            </w:r>
          </w:p>
          <w:p w:rsidR="00BF4987" w:rsidRDefault="00BF4987" w:rsidP="00A61D51"/>
          <w:p w:rsidR="00BF4987" w:rsidRDefault="00BF4987" w:rsidP="00A61D51">
            <w:r>
              <w:t xml:space="preserve">Analysis of any gaps in service following the review of homeless services, and identify what may need to be commissioned  </w:t>
            </w:r>
          </w:p>
          <w:p w:rsidR="00BF4987" w:rsidRDefault="00BF4987" w:rsidP="00A61D51"/>
          <w:p w:rsidR="00BF4987" w:rsidRDefault="00E64C4E" w:rsidP="00A61D51">
            <w:r>
              <w:t xml:space="preserve">Develop the </w:t>
            </w:r>
            <w:r w:rsidR="00BF4987">
              <w:t>Partnership work with colleagues through the Corporate Parenting Forum, Joint Solutions, and Adult social care</w:t>
            </w:r>
          </w:p>
          <w:p w:rsidR="00BF4987" w:rsidRDefault="00BF4987" w:rsidP="00A61D51"/>
          <w:p w:rsidR="00BF4987" w:rsidRDefault="00BF4987" w:rsidP="00A61D51">
            <w:r>
              <w:t>Review</w:t>
            </w:r>
            <w:r w:rsidR="00E64C4E">
              <w:t>,</w:t>
            </w:r>
            <w:r>
              <w:t xml:space="preserve"> </w:t>
            </w:r>
            <w:r w:rsidR="00E64C4E">
              <w:t xml:space="preserve">monitor </w:t>
            </w:r>
            <w:r>
              <w:t xml:space="preserve">and plan </w:t>
            </w:r>
            <w:r w:rsidR="00E64C4E">
              <w:t xml:space="preserve">the impact YOP subject to </w:t>
            </w:r>
            <w:r>
              <w:t xml:space="preserve">Remand </w:t>
            </w:r>
          </w:p>
          <w:p w:rsidR="00BF4987" w:rsidRPr="002773F7" w:rsidRDefault="00BF4987" w:rsidP="00A61D51"/>
        </w:tc>
        <w:tc>
          <w:tcPr>
            <w:tcW w:w="786" w:type="pct"/>
          </w:tcPr>
          <w:p w:rsidR="00BF4987" w:rsidRDefault="00BF4987" w:rsidP="00A61D51">
            <w:pPr>
              <w:rPr>
                <w:u w:val="single"/>
              </w:rPr>
            </w:pPr>
          </w:p>
          <w:p w:rsidR="00BF4987" w:rsidRPr="002773F7" w:rsidRDefault="00BF4987" w:rsidP="00A61D51">
            <w:r>
              <w:t xml:space="preserve"> </w:t>
            </w:r>
            <w:r w:rsidR="00C83F1D">
              <w:t xml:space="preserve">To be determined following review of Placements  </w:t>
            </w:r>
          </w:p>
        </w:tc>
        <w:tc>
          <w:tcPr>
            <w:tcW w:w="933" w:type="pct"/>
          </w:tcPr>
          <w:p w:rsidR="00BF4987" w:rsidRDefault="00BF4987" w:rsidP="00A61D51">
            <w:pPr>
              <w:rPr>
                <w:u w:val="single"/>
              </w:rPr>
            </w:pPr>
          </w:p>
          <w:p w:rsidR="00BF4987" w:rsidRDefault="00BF4987" w:rsidP="00A61D51">
            <w:r w:rsidRPr="00B611C4">
              <w:t>Numbers in suitable accommodation</w:t>
            </w:r>
          </w:p>
          <w:p w:rsidR="00BF4987" w:rsidRDefault="00BF4987" w:rsidP="00A61D51"/>
          <w:p w:rsidR="00BF4987" w:rsidRDefault="00BF4987" w:rsidP="00A61D51">
            <w:r>
              <w:t>Numbers in education, employment or training</w:t>
            </w:r>
          </w:p>
          <w:p w:rsidR="00BF4987" w:rsidRDefault="00BF4987" w:rsidP="00A61D51"/>
          <w:p w:rsidR="00BF4987" w:rsidRDefault="00BF4987" w:rsidP="00A61D51">
            <w:r>
              <w:t>Numbers who remain in placements under Staying Put policy</w:t>
            </w:r>
          </w:p>
          <w:p w:rsidR="00BF4987" w:rsidRDefault="00BF4987" w:rsidP="00A61D51"/>
          <w:p w:rsidR="00BF4987" w:rsidRDefault="00BF4987" w:rsidP="00A61D51">
            <w:r>
              <w:t xml:space="preserve">Inspection outcomes </w:t>
            </w:r>
          </w:p>
          <w:p w:rsidR="00BF4987" w:rsidRDefault="00BF4987" w:rsidP="00A61D51"/>
          <w:p w:rsidR="00BF4987" w:rsidRDefault="00BF4987" w:rsidP="00A61D51">
            <w:r w:rsidRPr="00E638FC">
              <w:t>Bench mark current provision against Ofsted grade descriptors</w:t>
            </w:r>
          </w:p>
          <w:p w:rsidR="00BF4987" w:rsidRDefault="00BF4987" w:rsidP="00A61D51"/>
          <w:p w:rsidR="00BF4987" w:rsidRPr="00B611C4" w:rsidRDefault="00BF4987" w:rsidP="00A61D51">
            <w:r>
              <w:t xml:space="preserve">Quality Standards audit </w:t>
            </w:r>
          </w:p>
        </w:tc>
        <w:tc>
          <w:tcPr>
            <w:tcW w:w="344" w:type="pct"/>
          </w:tcPr>
          <w:p w:rsidR="00BF4987" w:rsidRDefault="00BF4987" w:rsidP="00A61D51">
            <w:pPr>
              <w:rPr>
                <w:u w:val="single"/>
              </w:rPr>
            </w:pPr>
          </w:p>
          <w:p w:rsidR="00BF4987" w:rsidRDefault="00BF4987" w:rsidP="00A61D51">
            <w:pPr>
              <w:rPr>
                <w:u w:val="single"/>
              </w:rPr>
            </w:pPr>
            <w:r w:rsidRPr="0051076B">
              <w:t>Head of Service, LAC</w:t>
            </w:r>
          </w:p>
        </w:tc>
        <w:tc>
          <w:tcPr>
            <w:tcW w:w="589" w:type="pct"/>
          </w:tcPr>
          <w:p w:rsidR="00BF4987" w:rsidRPr="007E7B2F" w:rsidRDefault="00BF4987" w:rsidP="00A61D51"/>
          <w:p w:rsidR="00BF4987" w:rsidRDefault="00BF4987" w:rsidP="00A61D51">
            <w:r w:rsidRPr="007E7B2F">
              <w:t>Staying Put policy in place, needs embedding into practice</w:t>
            </w:r>
          </w:p>
          <w:p w:rsidR="00BF4987" w:rsidRDefault="00BF4987" w:rsidP="00A61D51"/>
          <w:p w:rsidR="00BF4987" w:rsidRDefault="00BF4987" w:rsidP="00A61D51">
            <w:r>
              <w:t>Revised regional commissioning framework being considered. Leicester City to consider whether this will improve efficiencies</w:t>
            </w:r>
          </w:p>
          <w:p w:rsidR="00BF4987" w:rsidRDefault="00BF4987" w:rsidP="00A61D51"/>
          <w:p w:rsidR="00BF4987" w:rsidRDefault="00BF4987" w:rsidP="00A61D51">
            <w:r>
              <w:t xml:space="preserve">Benchmarking exercise to take </w:t>
            </w:r>
            <w:r>
              <w:lastRenderedPageBreak/>
              <w:t>place urgently</w:t>
            </w:r>
          </w:p>
          <w:p w:rsidR="00BF4987" w:rsidRDefault="00BF4987" w:rsidP="00A61D51"/>
          <w:p w:rsidR="00BF4987" w:rsidRPr="007E7B2F" w:rsidRDefault="00BF4987" w:rsidP="00A61D51"/>
        </w:tc>
        <w:tc>
          <w:tcPr>
            <w:tcW w:w="443" w:type="pct"/>
          </w:tcPr>
          <w:p w:rsidR="00BF4987" w:rsidRDefault="00BF4987" w:rsidP="00A61D51">
            <w:pPr>
              <w:rPr>
                <w:u w:val="single"/>
              </w:rPr>
            </w:pPr>
          </w:p>
          <w:p w:rsidR="00BF4987" w:rsidRDefault="00BF4987" w:rsidP="00A61D51">
            <w:r w:rsidRPr="007E7B2F">
              <w:t>Ongoing</w:t>
            </w:r>
            <w:r>
              <w:t>.</w:t>
            </w:r>
          </w:p>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Pr="007E7B2F" w:rsidRDefault="00BF4987" w:rsidP="00A61D51">
            <w:r>
              <w:t xml:space="preserve">End of January 2014 </w:t>
            </w:r>
          </w:p>
        </w:tc>
      </w:tr>
    </w:tbl>
    <w:p w:rsidR="00BF4987" w:rsidRDefault="00BF4987" w:rsidP="00BF4987">
      <w:pPr>
        <w:rPr>
          <w:u w:val="single"/>
        </w:rPr>
      </w:pPr>
    </w:p>
    <w:p w:rsidR="00BF4987" w:rsidRPr="00674370" w:rsidRDefault="00BF4987" w:rsidP="00BF4987">
      <w:pPr>
        <w:rPr>
          <w:b/>
          <w:sz w:val="24"/>
          <w:u w:val="single"/>
        </w:rPr>
      </w:pPr>
      <w:r w:rsidRPr="00674370">
        <w:rPr>
          <w:b/>
          <w:sz w:val="24"/>
          <w:u w:val="single"/>
        </w:rPr>
        <w:t>Commissioning Priority 5</w:t>
      </w:r>
    </w:p>
    <w:p w:rsidR="00BF4987" w:rsidRPr="002D2F77" w:rsidRDefault="00BF4987" w:rsidP="00BF4987">
      <w:pPr>
        <w:rPr>
          <w:sz w:val="24"/>
          <w:szCs w:val="24"/>
        </w:rPr>
      </w:pPr>
      <w:r w:rsidRPr="002D2F77">
        <w:rPr>
          <w:sz w:val="24"/>
          <w:szCs w:val="24"/>
        </w:rPr>
        <w:t xml:space="preserve">To ensure value for money across the board in placement provision within the allocated budget </w:t>
      </w:r>
    </w:p>
    <w:tbl>
      <w:tblPr>
        <w:tblStyle w:val="TableGrid"/>
        <w:tblW w:w="5089" w:type="pct"/>
        <w:tblLook w:val="04A0" w:firstRow="1" w:lastRow="0" w:firstColumn="1" w:lastColumn="0" w:noHBand="0" w:noVBand="1"/>
      </w:tblPr>
      <w:tblGrid>
        <w:gridCol w:w="1998"/>
        <w:gridCol w:w="3498"/>
        <w:gridCol w:w="2268"/>
        <w:gridCol w:w="2692"/>
        <w:gridCol w:w="993"/>
        <w:gridCol w:w="1702"/>
        <w:gridCol w:w="1275"/>
      </w:tblGrid>
      <w:tr w:rsidR="00BF4987" w:rsidTr="00C83F1D">
        <w:tc>
          <w:tcPr>
            <w:tcW w:w="692"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sidRPr="00BC4753">
              <w:rPr>
                <w:b/>
              </w:rPr>
              <w:t>Outcome</w:t>
            </w:r>
          </w:p>
        </w:tc>
        <w:tc>
          <w:tcPr>
            <w:tcW w:w="1212" w:type="pct"/>
            <w:shd w:val="clear" w:color="auto" w:fill="E5B8B7" w:themeFill="accent2" w:themeFillTint="66"/>
          </w:tcPr>
          <w:p w:rsidR="00BF4987" w:rsidRDefault="00BF4987" w:rsidP="00A61D51">
            <w:pPr>
              <w:rPr>
                <w:b/>
              </w:rPr>
            </w:pPr>
          </w:p>
          <w:p w:rsidR="00BF4987" w:rsidRPr="00110DC9" w:rsidRDefault="00BF4987" w:rsidP="00A61D51">
            <w:pPr>
              <w:rPr>
                <w:b/>
              </w:rPr>
            </w:pPr>
            <w:r>
              <w:rPr>
                <w:b/>
              </w:rPr>
              <w:t>Action</w:t>
            </w:r>
          </w:p>
        </w:tc>
        <w:tc>
          <w:tcPr>
            <w:tcW w:w="786" w:type="pct"/>
            <w:shd w:val="clear" w:color="auto" w:fill="E5B8B7" w:themeFill="accent2" w:themeFillTint="66"/>
          </w:tcPr>
          <w:p w:rsidR="00BF4987" w:rsidRDefault="00BF4987" w:rsidP="00A61D51"/>
          <w:p w:rsidR="00BF4987" w:rsidRPr="00110DC9" w:rsidRDefault="00BF4987" w:rsidP="00A61D51">
            <w:pPr>
              <w:rPr>
                <w:b/>
              </w:rPr>
            </w:pPr>
            <w:r w:rsidRPr="00F64961">
              <w:rPr>
                <w:b/>
              </w:rPr>
              <w:t xml:space="preserve">Targets </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90" w:type="pct"/>
            <w:shd w:val="clear" w:color="auto" w:fill="E5B8B7" w:themeFill="accent2" w:themeFillTint="66"/>
          </w:tcPr>
          <w:p w:rsidR="00BF4987" w:rsidRPr="007E7B2F" w:rsidRDefault="00BF4987" w:rsidP="00A61D51">
            <w:pPr>
              <w:rPr>
                <w:b/>
              </w:rPr>
            </w:pPr>
          </w:p>
          <w:p w:rsidR="00BF4987" w:rsidRPr="007E7B2F" w:rsidRDefault="00BF4987" w:rsidP="00A61D51">
            <w:pPr>
              <w:rPr>
                <w:b/>
              </w:rPr>
            </w:pPr>
            <w:r w:rsidRPr="007E7B2F">
              <w:rPr>
                <w:b/>
              </w:rPr>
              <w:t>Progress</w:t>
            </w:r>
          </w:p>
        </w:tc>
        <w:tc>
          <w:tcPr>
            <w:tcW w:w="442" w:type="pct"/>
            <w:shd w:val="clear" w:color="auto" w:fill="E5B8B7" w:themeFill="accent2" w:themeFillTint="66"/>
          </w:tcPr>
          <w:p w:rsidR="00BF4987" w:rsidRPr="007E7B2F" w:rsidRDefault="00BF4987" w:rsidP="00A61D51">
            <w:pPr>
              <w:rPr>
                <w:b/>
              </w:rPr>
            </w:pPr>
          </w:p>
          <w:p w:rsidR="00BF4987" w:rsidRPr="007E7B2F" w:rsidRDefault="00BF4987" w:rsidP="00A61D51">
            <w:pPr>
              <w:rPr>
                <w:b/>
              </w:rPr>
            </w:pPr>
            <w:r w:rsidRPr="007E7B2F">
              <w:rPr>
                <w:b/>
              </w:rPr>
              <w:t>Timescale</w:t>
            </w:r>
          </w:p>
        </w:tc>
      </w:tr>
      <w:tr w:rsidR="00BF4987" w:rsidTr="00674370">
        <w:tc>
          <w:tcPr>
            <w:tcW w:w="692" w:type="pct"/>
          </w:tcPr>
          <w:p w:rsidR="00BF4987" w:rsidRPr="002120C0" w:rsidRDefault="00BF4987" w:rsidP="00A61D51">
            <w:r w:rsidRPr="002120C0">
              <w:t>To reduce the level of overspend within a volatile budget area</w:t>
            </w:r>
            <w:r>
              <w:t>.</w:t>
            </w:r>
          </w:p>
        </w:tc>
        <w:tc>
          <w:tcPr>
            <w:tcW w:w="1212" w:type="pct"/>
          </w:tcPr>
          <w:p w:rsidR="00BF4987" w:rsidRPr="002120C0" w:rsidRDefault="00BF4987" w:rsidP="00A61D51">
            <w:r w:rsidRPr="002120C0">
              <w:t>Weekly budget tracking and analysis of</w:t>
            </w:r>
            <w:r>
              <w:rPr>
                <w:u w:val="single"/>
              </w:rPr>
              <w:t xml:space="preserve"> </w:t>
            </w:r>
            <w:r w:rsidRPr="002120C0">
              <w:t>external placements</w:t>
            </w:r>
            <w:r>
              <w:rPr>
                <w:u w:val="single"/>
              </w:rPr>
              <w:t xml:space="preserve"> </w:t>
            </w:r>
            <w:r w:rsidRPr="002120C0">
              <w:t>budget</w:t>
            </w:r>
          </w:p>
          <w:p w:rsidR="00BF4987" w:rsidRPr="002120C0" w:rsidRDefault="00BF4987" w:rsidP="00A61D51"/>
          <w:p w:rsidR="00BF4987" w:rsidRPr="002120C0" w:rsidRDefault="00E64C4E" w:rsidP="00A61D51">
            <w:r w:rsidRPr="002120C0">
              <w:t>R</w:t>
            </w:r>
            <w:r w:rsidR="00BF4987" w:rsidRPr="002120C0">
              <w:t>epor</w:t>
            </w:r>
            <w:r>
              <w:t xml:space="preserve">t </w:t>
            </w:r>
            <w:r w:rsidR="009D5BC5">
              <w:t>weekly</w:t>
            </w:r>
            <w:r>
              <w:t xml:space="preserve"> </w:t>
            </w:r>
            <w:r w:rsidR="00BF4987" w:rsidRPr="002120C0">
              <w:t xml:space="preserve"> to senior managers on the external placements budget and commissioning activity </w:t>
            </w:r>
          </w:p>
          <w:p w:rsidR="00BF4987" w:rsidRPr="002120C0" w:rsidRDefault="00BF4987" w:rsidP="00A61D51"/>
          <w:p w:rsidR="00BF4987" w:rsidRDefault="00BF4987" w:rsidP="00A61D51">
            <w:r>
              <w:lastRenderedPageBreak/>
              <w:t xml:space="preserve">Maximise use of internal resources </w:t>
            </w:r>
          </w:p>
          <w:p w:rsidR="00BF4987" w:rsidRDefault="00BF4987" w:rsidP="00A61D51"/>
          <w:p w:rsidR="00BF4987" w:rsidRDefault="00E64C4E" w:rsidP="00A61D51">
            <w:r>
              <w:t>Co</w:t>
            </w:r>
            <w:r w:rsidR="00BF4987">
              <w:t xml:space="preserve">mmissioned </w:t>
            </w:r>
            <w:r>
              <w:t xml:space="preserve">external placements </w:t>
            </w:r>
            <w:r w:rsidR="00BF4987">
              <w:t xml:space="preserve">for four weeks initially, only if no in house provision available </w:t>
            </w:r>
          </w:p>
          <w:p w:rsidR="00BF4987" w:rsidRDefault="00BF4987" w:rsidP="00A61D51"/>
          <w:p w:rsidR="00BF4987" w:rsidRDefault="00BF4987" w:rsidP="00A61D51">
            <w:r>
              <w:t>Maximise joint funding opportunities</w:t>
            </w:r>
          </w:p>
          <w:p w:rsidR="00BF4987" w:rsidRDefault="00BF4987" w:rsidP="00A61D51"/>
          <w:p w:rsidR="00BF4987" w:rsidRDefault="00BF4987" w:rsidP="00A61D51">
            <w:pPr>
              <w:rPr>
                <w:u w:val="single"/>
              </w:rPr>
            </w:pPr>
            <w:r>
              <w:t>Ensure that children do not become LAC when there are alternatives available</w:t>
            </w:r>
          </w:p>
        </w:tc>
        <w:tc>
          <w:tcPr>
            <w:tcW w:w="786" w:type="pct"/>
          </w:tcPr>
          <w:p w:rsidR="00BF4987" w:rsidRDefault="00C83F1D" w:rsidP="00A61D51">
            <w:r>
              <w:lastRenderedPageBreak/>
              <w:t xml:space="preserve">Commission within budget </w:t>
            </w:r>
          </w:p>
          <w:p w:rsidR="00BF4987" w:rsidRDefault="00BF4987" w:rsidP="00A61D51"/>
          <w:p w:rsidR="00BF4987" w:rsidRPr="002120C0" w:rsidRDefault="00BF4987" w:rsidP="00A61D51"/>
        </w:tc>
        <w:tc>
          <w:tcPr>
            <w:tcW w:w="933" w:type="pct"/>
          </w:tcPr>
          <w:p w:rsidR="00BF4987" w:rsidRDefault="00BF4987" w:rsidP="00A61D51">
            <w:r w:rsidRPr="002120C0">
              <w:t>Weekly, monthly and quarterly budget returns</w:t>
            </w:r>
          </w:p>
          <w:p w:rsidR="00BF4987" w:rsidRDefault="00BF4987" w:rsidP="00A61D51"/>
          <w:p w:rsidR="00BF4987" w:rsidRPr="002120C0" w:rsidRDefault="00BF4987" w:rsidP="00A61D51">
            <w:r>
              <w:t>Care planning and LAC Actions work</w:t>
            </w:r>
          </w:p>
        </w:tc>
        <w:tc>
          <w:tcPr>
            <w:tcW w:w="344" w:type="pct"/>
          </w:tcPr>
          <w:p w:rsidR="00BF4987" w:rsidRDefault="00BF4987" w:rsidP="00A61D51"/>
          <w:p w:rsidR="00BF4987" w:rsidRDefault="00BF4987" w:rsidP="00A61D51">
            <w:pPr>
              <w:rPr>
                <w:u w:val="single"/>
              </w:rPr>
            </w:pPr>
            <w:r w:rsidRPr="0051076B">
              <w:t xml:space="preserve">Head of Service, LAC </w:t>
            </w:r>
          </w:p>
        </w:tc>
        <w:tc>
          <w:tcPr>
            <w:tcW w:w="590" w:type="pct"/>
          </w:tcPr>
          <w:p w:rsidR="00BF4987" w:rsidRDefault="00BF4987" w:rsidP="00A61D51"/>
          <w:p w:rsidR="00BF4987" w:rsidRDefault="00BF4987" w:rsidP="00A61D51">
            <w:r>
              <w:t>External placements budget is predicting significant underspend</w:t>
            </w:r>
          </w:p>
          <w:p w:rsidR="00BF4987" w:rsidRDefault="00BF4987" w:rsidP="00A61D51"/>
          <w:p w:rsidR="00BF4987" w:rsidRDefault="00BF4987" w:rsidP="00A61D51">
            <w:r>
              <w:t>Weekly reports provided to senior managers</w:t>
            </w:r>
          </w:p>
          <w:p w:rsidR="00BF4987" w:rsidRDefault="00BF4987" w:rsidP="00A61D51"/>
          <w:p w:rsidR="00BF4987" w:rsidRDefault="00BF4987" w:rsidP="00A61D51">
            <w:r>
              <w:t>Placements only commissioned for four weeks and activity undertaken to explore in house options to reduce the need for external placements</w:t>
            </w:r>
          </w:p>
          <w:p w:rsidR="00BF4987" w:rsidRDefault="00BF4987" w:rsidP="00A61D51"/>
          <w:p w:rsidR="00BF4987" w:rsidRDefault="00BF4987" w:rsidP="00A61D51"/>
        </w:tc>
        <w:tc>
          <w:tcPr>
            <w:tcW w:w="442" w:type="pct"/>
          </w:tcPr>
          <w:p w:rsidR="00BF4987" w:rsidRDefault="00BF4987" w:rsidP="00A61D51"/>
          <w:p w:rsidR="00BF4987" w:rsidRDefault="00BF4987" w:rsidP="00A61D51">
            <w:r>
              <w:t xml:space="preserve">Ongoing  and an integrated aspect of the service’s </w:t>
            </w:r>
            <w:r>
              <w:lastRenderedPageBreak/>
              <w:t>work</w:t>
            </w:r>
          </w:p>
        </w:tc>
      </w:tr>
    </w:tbl>
    <w:p w:rsidR="00F31C0D" w:rsidRDefault="00F31C0D" w:rsidP="00BF4987">
      <w:pPr>
        <w:rPr>
          <w:b/>
          <w:sz w:val="24"/>
          <w:u w:val="single"/>
        </w:rPr>
      </w:pPr>
    </w:p>
    <w:p w:rsidR="00F31C0D" w:rsidRDefault="00F31C0D" w:rsidP="00BF4987">
      <w:pPr>
        <w:rPr>
          <w:b/>
          <w:sz w:val="24"/>
          <w:u w:val="single"/>
        </w:rPr>
      </w:pPr>
    </w:p>
    <w:p w:rsidR="00BF4987" w:rsidRPr="00674370" w:rsidRDefault="00BF4987" w:rsidP="00BF4987">
      <w:pPr>
        <w:rPr>
          <w:b/>
          <w:sz w:val="24"/>
          <w:u w:val="single"/>
        </w:rPr>
      </w:pPr>
      <w:r w:rsidRPr="00674370">
        <w:rPr>
          <w:b/>
          <w:sz w:val="24"/>
          <w:u w:val="single"/>
        </w:rPr>
        <w:t>Commissioning priority 6</w:t>
      </w:r>
    </w:p>
    <w:p w:rsidR="00BF4987" w:rsidRPr="002D2F77" w:rsidRDefault="00BF4987" w:rsidP="00BF4987">
      <w:pPr>
        <w:rPr>
          <w:sz w:val="24"/>
          <w:szCs w:val="24"/>
        </w:rPr>
      </w:pPr>
      <w:r w:rsidRPr="002D2F77">
        <w:rPr>
          <w:sz w:val="24"/>
          <w:szCs w:val="24"/>
        </w:rPr>
        <w:t>To interpret national and local data to inform placement planning, identify gaps in provision and anticipate emerging need resulting in responsive and dynamic recruitment and commissioning strategies.</w:t>
      </w:r>
    </w:p>
    <w:tbl>
      <w:tblPr>
        <w:tblStyle w:val="TableGrid"/>
        <w:tblW w:w="5089" w:type="pct"/>
        <w:tblLayout w:type="fixed"/>
        <w:tblLook w:val="04A0" w:firstRow="1" w:lastRow="0" w:firstColumn="1" w:lastColumn="0" w:noHBand="0" w:noVBand="1"/>
      </w:tblPr>
      <w:tblGrid>
        <w:gridCol w:w="2029"/>
        <w:gridCol w:w="3466"/>
        <w:gridCol w:w="2269"/>
        <w:gridCol w:w="2692"/>
        <w:gridCol w:w="993"/>
        <w:gridCol w:w="1699"/>
        <w:gridCol w:w="1278"/>
      </w:tblGrid>
      <w:tr w:rsidR="00BF4987" w:rsidTr="00C83F1D">
        <w:tc>
          <w:tcPr>
            <w:tcW w:w="703" w:type="pct"/>
            <w:shd w:val="clear" w:color="auto" w:fill="E5B8B7" w:themeFill="accent2" w:themeFillTint="66"/>
          </w:tcPr>
          <w:p w:rsidR="00BF4987" w:rsidRPr="00110DC9" w:rsidRDefault="00BF4987" w:rsidP="00A61D51">
            <w:pPr>
              <w:rPr>
                <w:b/>
              </w:rPr>
            </w:pPr>
          </w:p>
          <w:p w:rsidR="00BF4987" w:rsidRPr="00110DC9" w:rsidRDefault="0098610E" w:rsidP="00A61D51">
            <w:pPr>
              <w:rPr>
                <w:b/>
              </w:rPr>
            </w:pPr>
            <w:r>
              <w:rPr>
                <w:b/>
              </w:rPr>
              <w:t xml:space="preserve">Outcomes </w:t>
            </w:r>
          </w:p>
          <w:p w:rsidR="00BF4987" w:rsidRPr="00110DC9" w:rsidRDefault="00BF4987" w:rsidP="00A61D51">
            <w:pPr>
              <w:rPr>
                <w:b/>
              </w:rPr>
            </w:pPr>
          </w:p>
        </w:tc>
        <w:tc>
          <w:tcPr>
            <w:tcW w:w="1201" w:type="pct"/>
            <w:shd w:val="clear" w:color="auto" w:fill="E5B8B7" w:themeFill="accent2" w:themeFillTint="66"/>
          </w:tcPr>
          <w:p w:rsidR="00BF4987" w:rsidRPr="00110DC9" w:rsidRDefault="00BF4987" w:rsidP="00A61D51">
            <w:pPr>
              <w:rPr>
                <w:b/>
              </w:rPr>
            </w:pPr>
          </w:p>
          <w:p w:rsidR="00BF4987" w:rsidRPr="00110DC9" w:rsidRDefault="0098610E" w:rsidP="00A61D51">
            <w:pPr>
              <w:rPr>
                <w:b/>
              </w:rPr>
            </w:pPr>
            <w:r>
              <w:rPr>
                <w:b/>
              </w:rPr>
              <w:t>Action</w:t>
            </w:r>
          </w:p>
        </w:tc>
        <w:tc>
          <w:tcPr>
            <w:tcW w:w="786" w:type="pct"/>
            <w:shd w:val="clear" w:color="auto" w:fill="E5B8B7" w:themeFill="accent2" w:themeFillTint="66"/>
          </w:tcPr>
          <w:p w:rsidR="00BF4987" w:rsidRDefault="00BF4987" w:rsidP="00A61D51"/>
          <w:p w:rsidR="00BF4987" w:rsidRPr="00110DC9" w:rsidRDefault="0098610E" w:rsidP="00A61D51">
            <w:pPr>
              <w:rPr>
                <w:b/>
              </w:rPr>
            </w:pPr>
            <w:r>
              <w:rPr>
                <w:b/>
              </w:rPr>
              <w:t>Target</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D80C43" w:rsidRDefault="00BF4987" w:rsidP="00A61D51">
            <w:pPr>
              <w:rPr>
                <w:b/>
              </w:rPr>
            </w:pPr>
          </w:p>
          <w:p w:rsidR="00BF4987" w:rsidRPr="00D80C43" w:rsidRDefault="00BF4987" w:rsidP="00A61D51">
            <w:pPr>
              <w:rPr>
                <w:b/>
              </w:rPr>
            </w:pPr>
            <w:r w:rsidRPr="00D80C43">
              <w:rPr>
                <w:b/>
              </w:rPr>
              <w:t xml:space="preserve">Progress </w:t>
            </w:r>
          </w:p>
        </w:tc>
        <w:tc>
          <w:tcPr>
            <w:tcW w:w="443" w:type="pct"/>
            <w:shd w:val="clear" w:color="auto" w:fill="E5B8B7" w:themeFill="accent2" w:themeFillTint="66"/>
          </w:tcPr>
          <w:p w:rsidR="00BF4987" w:rsidRDefault="00BF4987" w:rsidP="00A61D51">
            <w:pPr>
              <w:rPr>
                <w:b/>
              </w:rPr>
            </w:pPr>
          </w:p>
          <w:p w:rsidR="00BF4987" w:rsidRPr="00D80C43" w:rsidRDefault="00BF4987" w:rsidP="00A61D51">
            <w:pPr>
              <w:rPr>
                <w:b/>
              </w:rPr>
            </w:pPr>
            <w:r w:rsidRPr="00D80C43">
              <w:rPr>
                <w:b/>
              </w:rPr>
              <w:t>Timescales</w:t>
            </w:r>
          </w:p>
        </w:tc>
      </w:tr>
      <w:tr w:rsidR="00BF4987" w:rsidTr="00674370">
        <w:tc>
          <w:tcPr>
            <w:tcW w:w="703" w:type="pct"/>
          </w:tcPr>
          <w:p w:rsidR="00BF4987" w:rsidRDefault="00BF4987" w:rsidP="00A61D51">
            <w:pPr>
              <w:rPr>
                <w:u w:val="single"/>
              </w:rPr>
            </w:pPr>
          </w:p>
          <w:p w:rsidR="00BF4987" w:rsidRDefault="00BF4987" w:rsidP="00A61D51">
            <w:r w:rsidRPr="00E12D7E">
              <w:t xml:space="preserve">To ensure the right children are LAC, at the right time, </w:t>
            </w:r>
            <w:r>
              <w:t xml:space="preserve">delay and drift is minimised </w:t>
            </w:r>
            <w:r w:rsidRPr="00E12D7E">
              <w:t xml:space="preserve">and permanence is achieved at the earliest point possible. </w:t>
            </w:r>
          </w:p>
          <w:p w:rsidR="00BF4987" w:rsidRDefault="00BF4987" w:rsidP="00A61D51"/>
          <w:p w:rsidR="00BF4987" w:rsidRDefault="00BF4987" w:rsidP="00A61D51"/>
          <w:p w:rsidR="00BF4987" w:rsidRPr="00E12D7E" w:rsidRDefault="00BF4987" w:rsidP="00A61D51">
            <w:r>
              <w:t xml:space="preserve"> </w:t>
            </w:r>
            <w:r w:rsidR="009D296C" w:rsidRPr="009D296C">
              <w:t>Increase the numbers of children adopted</w:t>
            </w:r>
          </w:p>
        </w:tc>
        <w:tc>
          <w:tcPr>
            <w:tcW w:w="1201" w:type="pct"/>
          </w:tcPr>
          <w:p w:rsidR="00BF4987" w:rsidRDefault="00BF4987" w:rsidP="00A61D51">
            <w:pPr>
              <w:rPr>
                <w:u w:val="single"/>
              </w:rPr>
            </w:pPr>
          </w:p>
          <w:p w:rsidR="00BF4987" w:rsidRDefault="0098610E" w:rsidP="00A61D51">
            <w:r>
              <w:t xml:space="preserve">Implement a </w:t>
            </w:r>
            <w:r w:rsidR="009539EE">
              <w:t>programme</w:t>
            </w:r>
            <w:r>
              <w:t xml:space="preserve"> of learning so all staff </w:t>
            </w:r>
            <w:r w:rsidR="009D5BC5">
              <w:t>is</w:t>
            </w:r>
            <w:r w:rsidR="00BF4987" w:rsidRPr="002C6B92">
              <w:t xml:space="preserve"> aware of national and local data and emerging trends</w:t>
            </w:r>
            <w:r>
              <w:t>.</w:t>
            </w:r>
            <w:r w:rsidR="00BF4987" w:rsidRPr="002C6B92">
              <w:t xml:space="preserve"> through Care Planning, LAC Actions and performance data sets</w:t>
            </w:r>
          </w:p>
          <w:p w:rsidR="00BF4987" w:rsidRDefault="00BF4987" w:rsidP="00A61D51"/>
          <w:p w:rsidR="00BF4987" w:rsidRDefault="0098610E" w:rsidP="00A61D51">
            <w:r>
              <w:t xml:space="preserve">Further develop </w:t>
            </w:r>
            <w:r w:rsidR="00BF4987">
              <w:t>Recruitment strategies are targeted at cares who can meet the needs of our children</w:t>
            </w:r>
          </w:p>
          <w:p w:rsidR="00BF4987" w:rsidRDefault="00BF4987" w:rsidP="00A61D51"/>
          <w:p w:rsidR="00BF4987" w:rsidRDefault="0098610E" w:rsidP="00A61D51">
            <w:r>
              <w:t xml:space="preserve">Restructure the </w:t>
            </w:r>
            <w:r w:rsidR="00BF4987">
              <w:t xml:space="preserve">Placement </w:t>
            </w:r>
            <w:r>
              <w:t>S</w:t>
            </w:r>
            <w:r w:rsidR="00BF4987">
              <w:t xml:space="preserve">ervice </w:t>
            </w:r>
            <w:r>
              <w:t>to undertake an</w:t>
            </w:r>
            <w:r w:rsidR="00BF4987">
              <w:t xml:space="preserve"> overview of the care and carer  population to predict, track and monitor placement availability, to anticipate and meet need   </w:t>
            </w:r>
          </w:p>
          <w:p w:rsidR="00BF4987" w:rsidRDefault="00BF4987" w:rsidP="00A61D51"/>
          <w:p w:rsidR="00BF4987" w:rsidRDefault="00E64C4E" w:rsidP="00A61D51">
            <w:r>
              <w:t>Implement a</w:t>
            </w:r>
            <w:r w:rsidR="00BF4987">
              <w:t xml:space="preserve"> programme of work </w:t>
            </w:r>
            <w:r>
              <w:t xml:space="preserve">and performance data </w:t>
            </w:r>
            <w:r w:rsidR="00BF4987">
              <w:t xml:space="preserve">to track admissions to care, achievement of care plans, compliance with FJR and adoption timescales </w:t>
            </w:r>
          </w:p>
          <w:p w:rsidR="00BF4987" w:rsidRDefault="00BF4987" w:rsidP="00A61D51"/>
          <w:p w:rsidR="00BF4987" w:rsidRPr="002C6B92" w:rsidRDefault="00E64C4E" w:rsidP="00E64C4E">
            <w:r>
              <w:t xml:space="preserve">Commence a </w:t>
            </w:r>
            <w:r w:rsidR="009D5BC5">
              <w:t>Placement</w:t>
            </w:r>
            <w:r>
              <w:t xml:space="preserve"> review project </w:t>
            </w:r>
            <w:r w:rsidR="009539EE">
              <w:t xml:space="preserve"> review 16 plus accommodation </w:t>
            </w:r>
          </w:p>
        </w:tc>
        <w:tc>
          <w:tcPr>
            <w:tcW w:w="786" w:type="pct"/>
          </w:tcPr>
          <w:p w:rsidR="00BF4987" w:rsidRDefault="00BF4987" w:rsidP="00A61D51"/>
          <w:p w:rsidR="00C672AF" w:rsidRDefault="00C672AF" w:rsidP="00C672AF">
            <w:r>
              <w:t>Meet/exceed Government scorecard timescales.</w:t>
            </w:r>
          </w:p>
          <w:p w:rsidR="00C672AF" w:rsidRDefault="00C672AF" w:rsidP="00C672AF"/>
          <w:p w:rsidR="00C672AF" w:rsidRDefault="00C672AF" w:rsidP="00C672AF">
            <w:r>
              <w:t xml:space="preserve">Numbers of care proceedings concluded in 26 weeks, or on target to be completed in 26 weeks. </w:t>
            </w:r>
          </w:p>
          <w:p w:rsidR="00C672AF" w:rsidRDefault="00C672AF" w:rsidP="00C672AF"/>
          <w:p w:rsidR="00C672AF" w:rsidRDefault="00C672AF" w:rsidP="00C672AF">
            <w:r>
              <w:t>Minimum 40 completed adoption assessments a year.</w:t>
            </w:r>
          </w:p>
          <w:p w:rsidR="00C672AF" w:rsidRDefault="00C672AF" w:rsidP="00C672AF"/>
          <w:p w:rsidR="00C672AF" w:rsidRDefault="00C672AF" w:rsidP="00C672AF">
            <w:r w:rsidRPr="00C672AF">
              <w:t>Increase in numbers of adoptions to 45 (or stretch target of 50</w:t>
            </w:r>
          </w:p>
          <w:p w:rsidR="00C672AF" w:rsidRDefault="00C672AF" w:rsidP="00C672AF"/>
          <w:p w:rsidR="00C672AF" w:rsidRDefault="00C672AF" w:rsidP="00C672AF"/>
          <w:p w:rsidR="00C672AF" w:rsidRDefault="00C672AF" w:rsidP="00C672AF"/>
          <w:p w:rsidR="009D296C" w:rsidRPr="002C6B92" w:rsidRDefault="009D296C" w:rsidP="00A61D51">
            <w:r w:rsidRPr="009D296C">
              <w:t xml:space="preserve">Minimum of  5 ‘foster to adopt’ placements </w:t>
            </w:r>
            <w:r w:rsidRPr="009D296C">
              <w:lastRenderedPageBreak/>
              <w:t>per year</w:t>
            </w:r>
          </w:p>
        </w:tc>
        <w:tc>
          <w:tcPr>
            <w:tcW w:w="933" w:type="pct"/>
          </w:tcPr>
          <w:p w:rsidR="00BF4987" w:rsidRDefault="00BF4987" w:rsidP="00A61D51">
            <w:pPr>
              <w:rPr>
                <w:u w:val="single"/>
              </w:rPr>
            </w:pPr>
          </w:p>
          <w:p w:rsidR="00BF4987" w:rsidRPr="00B67AA5" w:rsidRDefault="00BF4987" w:rsidP="00A61D51">
            <w:r w:rsidRPr="00B67AA5">
              <w:t>Key performance indicator outcomes</w:t>
            </w:r>
          </w:p>
          <w:p w:rsidR="00BF4987" w:rsidRPr="00B67AA5" w:rsidRDefault="00BF4987" w:rsidP="00A61D51"/>
          <w:p w:rsidR="00BF4987" w:rsidRPr="00B67AA5" w:rsidRDefault="00BF4987" w:rsidP="00A61D51">
            <w:r w:rsidRPr="00B67AA5">
              <w:t>Ofsted inspection</w:t>
            </w:r>
          </w:p>
          <w:p w:rsidR="00BF4987" w:rsidRDefault="00BF4987" w:rsidP="00A61D51">
            <w:r>
              <w:t>o</w:t>
            </w:r>
            <w:r w:rsidRPr="00B67AA5">
              <w:t>utcomes</w:t>
            </w:r>
          </w:p>
          <w:p w:rsidR="00BF4987" w:rsidRDefault="00BF4987" w:rsidP="00A61D51"/>
          <w:p w:rsidR="00BF4987" w:rsidRDefault="00BF4987" w:rsidP="00A61D51">
            <w:r>
              <w:t>Numbers of new carers/adopters  recruited and approved</w:t>
            </w:r>
          </w:p>
          <w:p w:rsidR="00BF4987" w:rsidRDefault="00BF4987" w:rsidP="00A61D51"/>
          <w:p w:rsidR="00BF4987" w:rsidRDefault="00BF4987" w:rsidP="00A61D51">
            <w:r>
              <w:t>Adoptions achieved with in timescales</w:t>
            </w:r>
          </w:p>
          <w:p w:rsidR="00BF4987" w:rsidRDefault="00BF4987" w:rsidP="00A61D51"/>
          <w:p w:rsidR="00BF4987" w:rsidRDefault="00BF4987" w:rsidP="00A61D51">
            <w:r>
              <w:t>Care proceedings concluded within 26 weeks</w:t>
            </w:r>
          </w:p>
          <w:p w:rsidR="00BF4987" w:rsidRDefault="00BF4987" w:rsidP="00A61D51"/>
          <w:p w:rsidR="00BF4987" w:rsidRPr="00B67AA5" w:rsidRDefault="00BF4987" w:rsidP="00A61D51"/>
          <w:p w:rsidR="00BF4987" w:rsidRDefault="00BF4987" w:rsidP="00A61D51">
            <w:pPr>
              <w:rPr>
                <w:u w:val="single"/>
              </w:rPr>
            </w:pPr>
          </w:p>
        </w:tc>
        <w:tc>
          <w:tcPr>
            <w:tcW w:w="344" w:type="pct"/>
          </w:tcPr>
          <w:p w:rsidR="00BF4987" w:rsidRDefault="00BF4987" w:rsidP="00A61D51">
            <w:pPr>
              <w:rPr>
                <w:u w:val="single"/>
              </w:rPr>
            </w:pPr>
          </w:p>
          <w:p w:rsidR="00BF4987" w:rsidRDefault="00BF4987" w:rsidP="00A61D51">
            <w:r w:rsidRPr="0051076B">
              <w:t>Head of Service, LAC</w:t>
            </w:r>
            <w:r w:rsidR="0098610E">
              <w:t xml:space="preserve">, Head of </w:t>
            </w:r>
            <w:r w:rsidR="009539EE">
              <w:t>service</w:t>
            </w:r>
            <w:r w:rsidR="0098610E">
              <w:t xml:space="preserve"> Fieldwork</w:t>
            </w:r>
          </w:p>
          <w:p w:rsidR="0098610E" w:rsidRDefault="0098610E" w:rsidP="0098610E">
            <w:pPr>
              <w:rPr>
                <w:u w:val="single"/>
              </w:rPr>
            </w:pPr>
            <w:r>
              <w:t xml:space="preserve">Adoption </w:t>
            </w:r>
          </w:p>
        </w:tc>
        <w:tc>
          <w:tcPr>
            <w:tcW w:w="589" w:type="pct"/>
          </w:tcPr>
          <w:p w:rsidR="00BF4987" w:rsidRDefault="00BF4987" w:rsidP="00A61D51">
            <w:pPr>
              <w:rPr>
                <w:u w:val="single"/>
              </w:rPr>
            </w:pPr>
          </w:p>
          <w:p w:rsidR="00BF4987" w:rsidRPr="00D80C43" w:rsidRDefault="00BF4987" w:rsidP="00A61D51">
            <w:r w:rsidRPr="00D80C43">
              <w:t xml:space="preserve">Care Planning processes being refined </w:t>
            </w:r>
          </w:p>
          <w:p w:rsidR="00BF4987" w:rsidRPr="00D80C43" w:rsidRDefault="00BF4987" w:rsidP="00A61D51"/>
          <w:p w:rsidR="00BF4987" w:rsidRPr="00D80C43" w:rsidRDefault="00BF4987" w:rsidP="00A61D51">
            <w:r w:rsidRPr="00D80C43">
              <w:t>Significant data available to enable Leicester City to understand the local context</w:t>
            </w:r>
          </w:p>
          <w:p w:rsidR="00BF4987" w:rsidRPr="00D80C43" w:rsidRDefault="00BF4987" w:rsidP="00A61D51"/>
          <w:p w:rsidR="00BF4987" w:rsidRDefault="00BF4987" w:rsidP="00A61D51">
            <w:r w:rsidRPr="00D80C43">
              <w:t>Review of S20 and 16+ cohort planned, this links with work undertaken in the previous year</w:t>
            </w:r>
          </w:p>
          <w:p w:rsidR="00BF4987" w:rsidRDefault="00BF4987" w:rsidP="00A61D51"/>
          <w:p w:rsidR="00BF4987" w:rsidRDefault="00BF4987" w:rsidP="00A61D51">
            <w:pPr>
              <w:rPr>
                <w:u w:val="single"/>
              </w:rPr>
            </w:pPr>
            <w:r>
              <w:t xml:space="preserve">Adoption and FJR timescales monitored and performance </w:t>
            </w:r>
            <w:r>
              <w:lastRenderedPageBreak/>
              <w:t>improving</w:t>
            </w:r>
          </w:p>
        </w:tc>
        <w:tc>
          <w:tcPr>
            <w:tcW w:w="443" w:type="pct"/>
          </w:tcPr>
          <w:p w:rsidR="00BF4987" w:rsidRDefault="00BF4987" w:rsidP="00A61D51">
            <w:pPr>
              <w:rPr>
                <w:u w:val="single"/>
              </w:rPr>
            </w:pPr>
          </w:p>
          <w:p w:rsidR="00BF4987" w:rsidRDefault="00BF4987" w:rsidP="00A61D51">
            <w:r w:rsidRPr="00D80C43">
              <w:t>January 2014</w:t>
            </w:r>
          </w:p>
          <w:p w:rsidR="00BF4987" w:rsidRDefault="00BF4987" w:rsidP="00A61D51"/>
          <w:p w:rsidR="00BF4987" w:rsidRDefault="00BF4987" w:rsidP="00A61D51"/>
          <w:p w:rsidR="00BF4987" w:rsidRDefault="00BF4987" w:rsidP="00A61D51"/>
          <w:p w:rsidR="00BF4987" w:rsidRDefault="00BF4987" w:rsidP="00A61D51">
            <w:r>
              <w:t>Ongoing</w:t>
            </w:r>
          </w:p>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r>
              <w:t>By end of March 2014</w:t>
            </w:r>
          </w:p>
          <w:p w:rsidR="00BF4987" w:rsidRDefault="00BF4987" w:rsidP="00A61D51"/>
          <w:p w:rsidR="00BF4987" w:rsidRDefault="00BF4987" w:rsidP="00A61D51"/>
          <w:p w:rsidR="00BF4987" w:rsidRDefault="00BF4987" w:rsidP="00A61D51"/>
          <w:p w:rsidR="00BF4987" w:rsidRDefault="00BF4987" w:rsidP="00A61D51"/>
          <w:p w:rsidR="00BF4987" w:rsidRPr="00D80C43" w:rsidRDefault="00A61D51" w:rsidP="00A61D51">
            <w:r>
              <w:t>Yearend</w:t>
            </w:r>
            <w:r w:rsidR="00BF4987">
              <w:t xml:space="preserve"> statistics</w:t>
            </w:r>
          </w:p>
        </w:tc>
      </w:tr>
    </w:tbl>
    <w:p w:rsidR="00BF4987" w:rsidRDefault="00BF4987" w:rsidP="00BF4987"/>
    <w:p w:rsidR="00BF4987" w:rsidRDefault="00BF4987" w:rsidP="001F7DB5">
      <w:pPr>
        <w:rPr>
          <w:rStyle w:val="SubtleEmphasis"/>
          <w:rFonts w:cs="Arial"/>
          <w:b/>
          <w:i w:val="0"/>
          <w:color w:val="auto"/>
          <w:u w:val="single"/>
        </w:rPr>
      </w:pPr>
    </w:p>
    <w:p w:rsidR="00EF0ABC" w:rsidRDefault="00EF0ABC" w:rsidP="001F7DB5">
      <w:pPr>
        <w:rPr>
          <w:rStyle w:val="SubtleEmphasis"/>
          <w:rFonts w:cs="Arial"/>
          <w:b/>
          <w:i w:val="0"/>
          <w:color w:val="auto"/>
          <w:u w:val="single"/>
        </w:rPr>
      </w:pPr>
    </w:p>
    <w:p w:rsidR="00BF4987" w:rsidRPr="00BF4987" w:rsidRDefault="00235A9D" w:rsidP="001F7DB5">
      <w:pPr>
        <w:rPr>
          <w:rStyle w:val="SubtleEmphasis"/>
          <w:rFonts w:cs="Arial"/>
          <w:b/>
          <w:i w:val="0"/>
          <w:color w:val="auto"/>
          <w:u w:val="single"/>
        </w:rPr>
      </w:pPr>
      <w:r w:rsidRPr="00235A9D">
        <w:rPr>
          <w:rStyle w:val="SubtleEmphasis"/>
          <w:rFonts w:cs="Arial"/>
          <w:b/>
          <w:i w:val="0"/>
          <w:color w:val="auto"/>
        </w:rPr>
        <w:t xml:space="preserve">3. </w:t>
      </w:r>
      <w:r w:rsidR="00BF4987">
        <w:rPr>
          <w:rStyle w:val="SubtleEmphasis"/>
          <w:rFonts w:cs="Arial"/>
          <w:b/>
          <w:i w:val="0"/>
          <w:color w:val="auto"/>
          <w:u w:val="single"/>
        </w:rPr>
        <w:t xml:space="preserve">Appendix </w:t>
      </w:r>
      <w:r w:rsidR="00FB3BF4">
        <w:rPr>
          <w:rStyle w:val="SubtleEmphasis"/>
          <w:rFonts w:cs="Arial"/>
          <w:b/>
          <w:i w:val="0"/>
          <w:color w:val="auto"/>
          <w:u w:val="single"/>
        </w:rPr>
        <w:t>1</w:t>
      </w:r>
      <w:r w:rsidR="00BF4987">
        <w:rPr>
          <w:rStyle w:val="SubtleEmphasis"/>
          <w:rFonts w:cs="Arial"/>
          <w:b/>
          <w:i w:val="0"/>
          <w:color w:val="auto"/>
          <w:u w:val="single"/>
        </w:rPr>
        <w:t xml:space="preserve"> – </w:t>
      </w:r>
      <w:r w:rsidR="00C956C0" w:rsidRPr="00CF3475">
        <w:rPr>
          <w:rStyle w:val="SubtleEmphasis"/>
          <w:rFonts w:cs="Arial"/>
          <w:b/>
          <w:i w:val="0"/>
          <w:color w:val="auto"/>
          <w:u w:val="single"/>
        </w:rPr>
        <w:t>Vision</w:t>
      </w:r>
    </w:p>
    <w:p w:rsidR="00C956C0" w:rsidRPr="00EB3730" w:rsidRDefault="00272390" w:rsidP="008366F1">
      <w:pPr>
        <w:rPr>
          <w:rFonts w:cs="Arial"/>
        </w:rPr>
      </w:pPr>
      <w:r w:rsidRPr="00CF3475">
        <w:rPr>
          <w:rFonts w:cs="Arial"/>
        </w:rPr>
        <w:t xml:space="preserve">To </w:t>
      </w:r>
      <w:r w:rsidR="00C956C0" w:rsidRPr="00CF3475">
        <w:rPr>
          <w:rFonts w:cs="Arial"/>
        </w:rPr>
        <w:t>‘</w:t>
      </w:r>
      <w:r w:rsidR="00C956C0" w:rsidRPr="00CF3475">
        <w:rPr>
          <w:rFonts w:cs="Arial"/>
          <w:b/>
        </w:rPr>
        <w:t>Improve outcomes for particularly vulnerable groups of children</w:t>
      </w:r>
      <w:r w:rsidR="00D81665" w:rsidRPr="00CF3475">
        <w:rPr>
          <w:rFonts w:cs="Arial"/>
          <w:b/>
        </w:rPr>
        <w:t xml:space="preserve"> and </w:t>
      </w:r>
      <w:r w:rsidR="001F7DB5" w:rsidRPr="00CF3475">
        <w:rPr>
          <w:rFonts w:cs="Arial"/>
          <w:b/>
        </w:rPr>
        <w:t>young people</w:t>
      </w:r>
      <w:r w:rsidR="00D81665" w:rsidRPr="00CF3475">
        <w:rPr>
          <w:rFonts w:cs="Arial"/>
          <w:b/>
        </w:rPr>
        <w:t xml:space="preserve">: Looked After </w:t>
      </w:r>
      <w:r w:rsidR="00C956C0" w:rsidRPr="00CF3475">
        <w:rPr>
          <w:rFonts w:cs="Arial"/>
          <w:b/>
        </w:rPr>
        <w:t xml:space="preserve">Children, children and </w:t>
      </w:r>
      <w:r w:rsidR="001F7DB5" w:rsidRPr="00CF3475">
        <w:rPr>
          <w:rFonts w:cs="Arial"/>
          <w:b/>
        </w:rPr>
        <w:t>young people</w:t>
      </w:r>
      <w:r w:rsidR="00C956C0" w:rsidRPr="00CF3475">
        <w:rPr>
          <w:rFonts w:cs="Arial"/>
          <w:b/>
        </w:rPr>
        <w:t xml:space="preserve"> with special education needs/learning difficulties and/or di</w:t>
      </w:r>
      <w:r w:rsidR="00EB3730">
        <w:rPr>
          <w:rFonts w:cs="Arial"/>
          <w:b/>
        </w:rPr>
        <w:t>sabilities and young offenders’</w:t>
      </w:r>
      <w:r w:rsidR="00EB3730">
        <w:rPr>
          <w:rFonts w:cs="Arial"/>
        </w:rPr>
        <w:t>.</w:t>
      </w:r>
    </w:p>
    <w:p w:rsidR="00C956C0" w:rsidRPr="00CF3475" w:rsidRDefault="00C956C0" w:rsidP="008366F1">
      <w:pPr>
        <w:rPr>
          <w:rFonts w:cs="Arial"/>
        </w:rPr>
      </w:pPr>
      <w:r w:rsidRPr="00CF3475">
        <w:rPr>
          <w:rFonts w:cs="Arial"/>
        </w:rPr>
        <w:t xml:space="preserve">(The </w:t>
      </w:r>
      <w:r w:rsidR="00606F17" w:rsidRPr="00CF3475">
        <w:rPr>
          <w:rFonts w:cs="Arial"/>
        </w:rPr>
        <w:t>C</w:t>
      </w:r>
      <w:r w:rsidRPr="00CF3475">
        <w:rPr>
          <w:rFonts w:cs="Arial"/>
        </w:rPr>
        <w:t xml:space="preserve">hildren and </w:t>
      </w:r>
      <w:r w:rsidR="001F7DB5" w:rsidRPr="00CF3475">
        <w:rPr>
          <w:rFonts w:cs="Arial"/>
        </w:rPr>
        <w:t xml:space="preserve">Young </w:t>
      </w:r>
      <w:r w:rsidR="00E546E9" w:rsidRPr="00CF3475">
        <w:rPr>
          <w:rFonts w:cs="Arial"/>
        </w:rPr>
        <w:t>P</w:t>
      </w:r>
      <w:r w:rsidR="001F7DB5" w:rsidRPr="00CF3475">
        <w:rPr>
          <w:rFonts w:cs="Arial"/>
        </w:rPr>
        <w:t>eople</w:t>
      </w:r>
      <w:r w:rsidR="00E546E9" w:rsidRPr="00CF3475">
        <w:rPr>
          <w:rFonts w:cs="Arial"/>
        </w:rPr>
        <w:t>’</w:t>
      </w:r>
      <w:r w:rsidRPr="00CF3475">
        <w:rPr>
          <w:rFonts w:cs="Arial"/>
        </w:rPr>
        <w:t>s Plan</w:t>
      </w:r>
      <w:r w:rsidR="00606F17" w:rsidRPr="00CF3475">
        <w:rPr>
          <w:rFonts w:cs="Arial"/>
        </w:rPr>
        <w:t>,</w:t>
      </w:r>
      <w:r w:rsidRPr="00CF3475">
        <w:rPr>
          <w:rFonts w:cs="Arial"/>
        </w:rPr>
        <w:t xml:space="preserve"> </w:t>
      </w:r>
      <w:r w:rsidR="00606F17" w:rsidRPr="00CF3475">
        <w:rPr>
          <w:rFonts w:cs="Arial"/>
        </w:rPr>
        <w:t>P</w:t>
      </w:r>
      <w:r w:rsidRPr="00CF3475">
        <w:rPr>
          <w:rFonts w:cs="Arial"/>
        </w:rPr>
        <w:t>riority 6)</w:t>
      </w:r>
    </w:p>
    <w:p w:rsidR="004D777D" w:rsidRPr="00CF3475" w:rsidRDefault="00E546E9" w:rsidP="008366F1">
      <w:pPr>
        <w:rPr>
          <w:rFonts w:cs="Arial"/>
          <w:b/>
        </w:rPr>
      </w:pPr>
      <w:r w:rsidRPr="00CF3475">
        <w:rPr>
          <w:rFonts w:cs="Arial"/>
          <w:b/>
        </w:rPr>
        <w:t>‘</w:t>
      </w:r>
      <w:r w:rsidR="004D777D" w:rsidRPr="00CF3475">
        <w:rPr>
          <w:rFonts w:cs="Arial"/>
          <w:b/>
        </w:rPr>
        <w:t xml:space="preserve">The Looked After Children service has a key role to play in promoting the welfare of Looked After Children. As excellent corporate parents we will provide high quality services that focus on the needs of Looked After Children, are efficient, effective, recognise diversity and lead to good and improved outcomes for children and </w:t>
      </w:r>
      <w:r w:rsidR="001F7DB5" w:rsidRPr="00CF3475">
        <w:rPr>
          <w:rFonts w:cs="Arial"/>
          <w:b/>
        </w:rPr>
        <w:t>young people</w:t>
      </w:r>
      <w:r w:rsidR="004D777D" w:rsidRPr="00CF3475">
        <w:rPr>
          <w:rFonts w:cs="Arial"/>
          <w:b/>
        </w:rPr>
        <w:t>’</w:t>
      </w:r>
    </w:p>
    <w:p w:rsidR="004D777D" w:rsidRPr="00CF3475" w:rsidRDefault="004D777D" w:rsidP="008366F1">
      <w:pPr>
        <w:rPr>
          <w:rFonts w:cs="Arial"/>
        </w:rPr>
      </w:pPr>
      <w:r w:rsidRPr="00CF3475">
        <w:rPr>
          <w:rFonts w:cs="Arial"/>
        </w:rPr>
        <w:t>(Looked After Services Strategic Plan, 2013)</w:t>
      </w:r>
    </w:p>
    <w:p w:rsidR="00134FB3" w:rsidRPr="00CF3475" w:rsidRDefault="00C956C0" w:rsidP="008366F1">
      <w:pPr>
        <w:rPr>
          <w:rFonts w:cs="Arial"/>
        </w:rPr>
      </w:pPr>
      <w:r w:rsidRPr="00CF3475">
        <w:rPr>
          <w:rFonts w:cs="Arial"/>
        </w:rPr>
        <w:t>To improve the health and wellbeing of Looked After Children</w:t>
      </w:r>
      <w:r w:rsidR="00606F17" w:rsidRPr="00CF3475">
        <w:rPr>
          <w:rFonts w:cs="Arial"/>
        </w:rPr>
        <w:t>,</w:t>
      </w:r>
      <w:r w:rsidRPr="00CF3475">
        <w:rPr>
          <w:rFonts w:cs="Arial"/>
        </w:rPr>
        <w:t xml:space="preserve"> </w:t>
      </w:r>
      <w:r w:rsidR="00F1311D" w:rsidRPr="00CF3475">
        <w:rPr>
          <w:rFonts w:cs="Arial"/>
        </w:rPr>
        <w:t xml:space="preserve">Leicester City will ensure every child who needs to be looked after receives </w:t>
      </w:r>
      <w:r w:rsidR="00134FB3" w:rsidRPr="00CF3475">
        <w:rPr>
          <w:rFonts w:cs="Arial"/>
        </w:rPr>
        <w:t xml:space="preserve">an appropriate and timely placement that meets their assessed needs. Leicester City will: </w:t>
      </w:r>
    </w:p>
    <w:p w:rsidR="00134FB3" w:rsidRPr="00CF3475" w:rsidRDefault="00134FB3" w:rsidP="00DF1D3D">
      <w:pPr>
        <w:pStyle w:val="ListParagraph"/>
        <w:numPr>
          <w:ilvl w:val="0"/>
          <w:numId w:val="1"/>
        </w:numPr>
        <w:rPr>
          <w:rFonts w:cs="Arial"/>
        </w:rPr>
      </w:pPr>
      <w:r w:rsidRPr="00CF3475">
        <w:rPr>
          <w:rFonts w:cs="Arial"/>
        </w:rPr>
        <w:t>Ensure that no child becomes looked after unless no alternative is viable</w:t>
      </w:r>
    </w:p>
    <w:p w:rsidR="00134FB3" w:rsidRPr="00CF3475" w:rsidRDefault="00134FB3" w:rsidP="00DF1D3D">
      <w:pPr>
        <w:pStyle w:val="ListParagraph"/>
        <w:numPr>
          <w:ilvl w:val="0"/>
          <w:numId w:val="1"/>
        </w:numPr>
        <w:rPr>
          <w:rFonts w:cs="Arial"/>
        </w:rPr>
      </w:pPr>
      <w:r w:rsidRPr="00CF3475">
        <w:rPr>
          <w:rFonts w:cs="Arial"/>
        </w:rPr>
        <w:lastRenderedPageBreak/>
        <w:t xml:space="preserve">Manage risk confidently and provide support to children at the edge of care to make sure the right children come into care at the right time. </w:t>
      </w:r>
    </w:p>
    <w:p w:rsidR="00134FB3" w:rsidRPr="00CF3475" w:rsidRDefault="00134FB3" w:rsidP="00DF1D3D">
      <w:pPr>
        <w:pStyle w:val="ListParagraph"/>
        <w:numPr>
          <w:ilvl w:val="0"/>
          <w:numId w:val="1"/>
        </w:numPr>
        <w:rPr>
          <w:rFonts w:cs="Arial"/>
        </w:rPr>
      </w:pPr>
      <w:r w:rsidRPr="00CF3475">
        <w:rPr>
          <w:rFonts w:cs="Arial"/>
        </w:rPr>
        <w:t>Ensure all LAC are safeguarded.</w:t>
      </w:r>
    </w:p>
    <w:p w:rsidR="00134FB3" w:rsidRPr="00CF3475" w:rsidRDefault="00134FB3" w:rsidP="00DF1D3D">
      <w:pPr>
        <w:pStyle w:val="ListParagraph"/>
        <w:numPr>
          <w:ilvl w:val="0"/>
          <w:numId w:val="1"/>
        </w:numPr>
        <w:rPr>
          <w:rFonts w:cs="Arial"/>
        </w:rPr>
      </w:pPr>
      <w:r w:rsidRPr="00CF3475">
        <w:rPr>
          <w:rFonts w:cs="Arial"/>
        </w:rPr>
        <w:t xml:space="preserve">Provide and commission a flexible and affordable mix of high quality placements to support all children in having positive experiences in care whatever their needs. </w:t>
      </w:r>
    </w:p>
    <w:p w:rsidR="00134FB3" w:rsidRPr="00CF3475" w:rsidRDefault="00134FB3" w:rsidP="00DF1D3D">
      <w:pPr>
        <w:pStyle w:val="ListParagraph"/>
        <w:numPr>
          <w:ilvl w:val="0"/>
          <w:numId w:val="1"/>
        </w:numPr>
        <w:rPr>
          <w:rFonts w:cs="Arial"/>
        </w:rPr>
      </w:pPr>
      <w:r w:rsidRPr="00CF3475">
        <w:rPr>
          <w:rFonts w:cs="Arial"/>
        </w:rPr>
        <w:t>Ensure all LAC get a good education, whether this is in mainstream schools or in alternative arrangements.</w:t>
      </w:r>
    </w:p>
    <w:p w:rsidR="00134FB3" w:rsidRPr="00CF3475" w:rsidRDefault="00134FB3" w:rsidP="00DF1D3D">
      <w:pPr>
        <w:pStyle w:val="ListParagraph"/>
        <w:numPr>
          <w:ilvl w:val="0"/>
          <w:numId w:val="1"/>
        </w:numPr>
        <w:rPr>
          <w:rFonts w:cs="Arial"/>
        </w:rPr>
      </w:pPr>
      <w:r w:rsidRPr="00CF3475">
        <w:rPr>
          <w:rFonts w:cs="Arial"/>
        </w:rPr>
        <w:t>Give children clearly planned journeys through care which enable them to be reunited with family and friends where possible, have stable placements and exit the care system positively and safely.</w:t>
      </w:r>
    </w:p>
    <w:p w:rsidR="00134FB3" w:rsidRPr="00CF3475" w:rsidRDefault="00134FB3" w:rsidP="00DF1D3D">
      <w:pPr>
        <w:pStyle w:val="ListParagraph"/>
        <w:numPr>
          <w:ilvl w:val="0"/>
          <w:numId w:val="1"/>
        </w:numPr>
        <w:rPr>
          <w:rFonts w:cs="Arial"/>
        </w:rPr>
      </w:pPr>
      <w:r w:rsidRPr="00CF3475">
        <w:rPr>
          <w:rFonts w:cs="Arial"/>
        </w:rPr>
        <w:t xml:space="preserve">Support </w:t>
      </w:r>
      <w:r w:rsidR="001F7DB5" w:rsidRPr="00CF3475">
        <w:rPr>
          <w:rFonts w:cs="Arial"/>
        </w:rPr>
        <w:t>young people</w:t>
      </w:r>
      <w:r w:rsidRPr="00CF3475">
        <w:rPr>
          <w:rFonts w:cs="Arial"/>
        </w:rPr>
        <w:t xml:space="preserve"> in transitional arrangements into early adulthood.</w:t>
      </w:r>
    </w:p>
    <w:p w:rsidR="00E546E9" w:rsidRPr="00CF3475" w:rsidRDefault="00E546E9" w:rsidP="00DF1D3D">
      <w:pPr>
        <w:pStyle w:val="ListParagraph"/>
        <w:numPr>
          <w:ilvl w:val="0"/>
          <w:numId w:val="1"/>
        </w:numPr>
        <w:rPr>
          <w:rFonts w:cs="Arial"/>
        </w:rPr>
      </w:pPr>
      <w:r w:rsidRPr="00CF3475">
        <w:rPr>
          <w:rFonts w:cs="Arial"/>
        </w:rPr>
        <w:t xml:space="preserve">Aspire to having good or outstanding Ofsted outcomes across all services, and benchmark services against grade descriptors. </w:t>
      </w:r>
    </w:p>
    <w:p w:rsidR="00674370" w:rsidRDefault="00674370" w:rsidP="00FB3BF4">
      <w:pPr>
        <w:pStyle w:val="IntenseQuote"/>
        <w:pBdr>
          <w:bottom w:val="none" w:sz="0" w:space="0" w:color="auto"/>
        </w:pBdr>
        <w:ind w:hanging="936"/>
        <w:rPr>
          <w:rStyle w:val="SubtleEmphasis"/>
          <w:rFonts w:cs="Arial"/>
          <w:color w:val="auto"/>
          <w:u w:val="single"/>
        </w:rPr>
      </w:pPr>
    </w:p>
    <w:p w:rsidR="00FB3BF4" w:rsidRPr="00FB3BF4" w:rsidRDefault="00235A9D" w:rsidP="00FB3BF4">
      <w:pPr>
        <w:pStyle w:val="IntenseQuote"/>
        <w:pBdr>
          <w:bottom w:val="none" w:sz="0" w:space="0" w:color="auto"/>
        </w:pBdr>
        <w:ind w:hanging="936"/>
        <w:rPr>
          <w:rFonts w:cs="Arial"/>
          <w:i w:val="0"/>
          <w:iCs w:val="0"/>
          <w:color w:val="auto"/>
          <w:u w:val="single"/>
        </w:rPr>
      </w:pPr>
      <w:r>
        <w:rPr>
          <w:rStyle w:val="SubtleEmphasis"/>
          <w:rFonts w:cs="Arial"/>
          <w:color w:val="auto"/>
        </w:rPr>
        <w:t xml:space="preserve">4. </w:t>
      </w:r>
      <w:r w:rsidR="00BF4987" w:rsidRPr="00FB3BF4">
        <w:rPr>
          <w:rStyle w:val="SubtleEmphasis"/>
          <w:rFonts w:cs="Arial"/>
          <w:color w:val="auto"/>
          <w:u w:val="single"/>
        </w:rPr>
        <w:t>Appendix</w:t>
      </w:r>
      <w:r w:rsidR="00BF4987" w:rsidRPr="00FB3BF4">
        <w:rPr>
          <w:rStyle w:val="SubtleEmphasis"/>
          <w:rFonts w:cs="Arial"/>
          <w:b w:val="0"/>
          <w:color w:val="auto"/>
          <w:u w:val="single"/>
        </w:rPr>
        <w:t xml:space="preserve"> </w:t>
      </w:r>
      <w:r w:rsidR="00900251">
        <w:rPr>
          <w:rStyle w:val="SubtleEmphasis"/>
          <w:rFonts w:cs="Arial"/>
          <w:color w:val="auto"/>
          <w:u w:val="single"/>
        </w:rPr>
        <w:t>2</w:t>
      </w:r>
      <w:r w:rsidR="00FB3BF4">
        <w:rPr>
          <w:rStyle w:val="SubtleEmphasis"/>
          <w:rFonts w:cs="Arial"/>
          <w:color w:val="auto"/>
          <w:u w:val="single"/>
        </w:rPr>
        <w:t xml:space="preserve"> - </w:t>
      </w:r>
      <w:r w:rsidR="00134FB3" w:rsidRPr="00CF3475">
        <w:rPr>
          <w:rStyle w:val="SubtleEmphasis"/>
          <w:rFonts w:cs="Arial"/>
          <w:color w:val="auto"/>
          <w:u w:val="single"/>
        </w:rPr>
        <w:t>Strategic Objectives</w:t>
      </w:r>
      <w:r w:rsidR="00E546E9" w:rsidRPr="00CF3475">
        <w:rPr>
          <w:rStyle w:val="SubtleEmphasis"/>
          <w:rFonts w:cs="Arial"/>
          <w:color w:val="auto"/>
          <w:u w:val="single"/>
        </w:rPr>
        <w:t xml:space="preserve"> </w:t>
      </w:r>
    </w:p>
    <w:p w:rsidR="00134FB3" w:rsidRPr="00CF3475" w:rsidRDefault="00134FB3" w:rsidP="00272D0E">
      <w:pPr>
        <w:pStyle w:val="ListParagraph"/>
        <w:numPr>
          <w:ilvl w:val="0"/>
          <w:numId w:val="7"/>
        </w:numPr>
        <w:rPr>
          <w:rFonts w:cs="Arial"/>
        </w:rPr>
      </w:pPr>
      <w:r w:rsidRPr="00CF3475">
        <w:rPr>
          <w:rFonts w:cs="Arial"/>
        </w:rPr>
        <w:t>To improve the quality of life for those children in care</w:t>
      </w:r>
    </w:p>
    <w:p w:rsidR="00134FB3" w:rsidRPr="00CF3475" w:rsidRDefault="00134FB3" w:rsidP="00272D0E">
      <w:pPr>
        <w:pStyle w:val="ListParagraph"/>
        <w:numPr>
          <w:ilvl w:val="0"/>
          <w:numId w:val="7"/>
        </w:numPr>
        <w:rPr>
          <w:rFonts w:cs="Arial"/>
        </w:rPr>
      </w:pPr>
      <w:r w:rsidRPr="00CF3475">
        <w:rPr>
          <w:rFonts w:cs="Arial"/>
        </w:rPr>
        <w:t>To ensure that children are matched to placements that meet their individual needs.</w:t>
      </w:r>
    </w:p>
    <w:p w:rsidR="00134FB3" w:rsidRPr="00CF3475" w:rsidRDefault="00134FB3" w:rsidP="00272D0E">
      <w:pPr>
        <w:pStyle w:val="ListParagraph"/>
        <w:numPr>
          <w:ilvl w:val="0"/>
          <w:numId w:val="7"/>
        </w:numPr>
        <w:rPr>
          <w:rFonts w:cs="Arial"/>
        </w:rPr>
      </w:pPr>
      <w:r w:rsidRPr="00CF3475">
        <w:rPr>
          <w:rFonts w:cs="Arial"/>
        </w:rPr>
        <w:t>Provide a wide range of quality internal placements in residential, fostering, kinship and adoption.</w:t>
      </w:r>
    </w:p>
    <w:p w:rsidR="00134FB3" w:rsidRPr="00CF3475" w:rsidRDefault="00134FB3" w:rsidP="00272D0E">
      <w:pPr>
        <w:pStyle w:val="ListParagraph"/>
        <w:numPr>
          <w:ilvl w:val="0"/>
          <w:numId w:val="7"/>
        </w:numPr>
        <w:rPr>
          <w:rFonts w:cs="Arial"/>
        </w:rPr>
      </w:pPr>
      <w:r w:rsidRPr="00CF3475">
        <w:rPr>
          <w:rFonts w:cs="Arial"/>
        </w:rPr>
        <w:t>To commission placements efficiently and effectively.</w:t>
      </w:r>
    </w:p>
    <w:p w:rsidR="00134FB3" w:rsidRPr="00CF3475" w:rsidRDefault="00134FB3" w:rsidP="00272D0E">
      <w:pPr>
        <w:pStyle w:val="ListParagraph"/>
        <w:numPr>
          <w:ilvl w:val="0"/>
          <w:numId w:val="7"/>
        </w:numPr>
        <w:rPr>
          <w:rFonts w:cs="Arial"/>
        </w:rPr>
      </w:pPr>
      <w:r w:rsidRPr="00CF3475">
        <w:rPr>
          <w:rFonts w:cs="Arial"/>
        </w:rPr>
        <w:t>To ensure thorough care planning to promote stability and permanence.</w:t>
      </w:r>
    </w:p>
    <w:p w:rsidR="00134FB3" w:rsidRPr="00CF3475" w:rsidRDefault="00134FB3" w:rsidP="00272D0E">
      <w:pPr>
        <w:pStyle w:val="ListParagraph"/>
        <w:numPr>
          <w:ilvl w:val="0"/>
          <w:numId w:val="7"/>
        </w:numPr>
        <w:rPr>
          <w:rFonts w:cs="Arial"/>
        </w:rPr>
      </w:pPr>
      <w:r w:rsidRPr="00CF3475">
        <w:rPr>
          <w:rFonts w:cs="Arial"/>
        </w:rPr>
        <w:t>To ensure maximum efficiency gain and best value.</w:t>
      </w:r>
    </w:p>
    <w:p w:rsidR="00EB3730" w:rsidRPr="00EB3730" w:rsidRDefault="00134FB3" w:rsidP="00272D0E">
      <w:pPr>
        <w:pStyle w:val="ListParagraph"/>
        <w:numPr>
          <w:ilvl w:val="0"/>
          <w:numId w:val="7"/>
        </w:numPr>
        <w:rPr>
          <w:rFonts w:cs="Arial"/>
        </w:rPr>
      </w:pPr>
      <w:r w:rsidRPr="00CF3475">
        <w:rPr>
          <w:rFonts w:cs="Arial"/>
        </w:rPr>
        <w:t>To ensure statutory compliance</w:t>
      </w:r>
      <w:r w:rsidR="001F7DB5" w:rsidRPr="00CF3475">
        <w:rPr>
          <w:rFonts w:cs="Arial"/>
        </w:rPr>
        <w:t xml:space="preserve"> to </w:t>
      </w:r>
      <w:r w:rsidR="00E546E9" w:rsidRPr="00CF3475">
        <w:rPr>
          <w:rFonts w:cs="Arial"/>
        </w:rPr>
        <w:t>achieve good</w:t>
      </w:r>
      <w:r w:rsidR="001F7DB5" w:rsidRPr="00CF3475">
        <w:rPr>
          <w:rFonts w:cs="Arial"/>
        </w:rPr>
        <w:t xml:space="preserve"> or outstanding Ofsted judgements</w:t>
      </w:r>
      <w:r w:rsidRPr="00CF3475">
        <w:rPr>
          <w:rFonts w:cs="Arial"/>
        </w:rPr>
        <w:t>.</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5.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color w:val="auto"/>
          <w:u w:val="single"/>
        </w:rPr>
        <w:t>3</w:t>
      </w:r>
      <w:r w:rsidR="00FB3BF4">
        <w:rPr>
          <w:rStyle w:val="SubtleEmphasis"/>
          <w:rFonts w:cs="Arial"/>
          <w:color w:val="auto"/>
          <w:u w:val="single"/>
        </w:rPr>
        <w:t xml:space="preserve"> - </w:t>
      </w:r>
      <w:r w:rsidR="00F7515A" w:rsidRPr="00CF3475">
        <w:rPr>
          <w:rStyle w:val="SubtleEmphasis"/>
          <w:rFonts w:cs="Arial"/>
          <w:color w:val="auto"/>
          <w:u w:val="single"/>
        </w:rPr>
        <w:t>Policy Commitments</w:t>
      </w:r>
      <w:r w:rsidR="00E546E9" w:rsidRPr="00CF3475">
        <w:rPr>
          <w:rStyle w:val="SubtleEmphasis"/>
          <w:rFonts w:cs="Arial"/>
          <w:color w:val="auto"/>
          <w:u w:val="single"/>
        </w:rPr>
        <w:t xml:space="preserve"> </w:t>
      </w:r>
    </w:p>
    <w:p w:rsidR="00F7515A" w:rsidRPr="00CF3475" w:rsidRDefault="00F7515A" w:rsidP="00DF1D3D">
      <w:pPr>
        <w:pStyle w:val="ListParagraph"/>
        <w:numPr>
          <w:ilvl w:val="0"/>
          <w:numId w:val="2"/>
        </w:numPr>
        <w:ind w:left="709" w:hanging="283"/>
        <w:rPr>
          <w:rFonts w:cs="Arial"/>
        </w:rPr>
      </w:pPr>
      <w:r w:rsidRPr="00CF3475">
        <w:rPr>
          <w:rFonts w:cs="Arial"/>
        </w:rPr>
        <w:lastRenderedPageBreak/>
        <w:t xml:space="preserve">To work </w:t>
      </w:r>
      <w:r w:rsidR="001F7DB5" w:rsidRPr="00CF3475">
        <w:rPr>
          <w:rFonts w:cs="Arial"/>
        </w:rPr>
        <w:t xml:space="preserve">to meet </w:t>
      </w:r>
      <w:r w:rsidRPr="00CF3475">
        <w:rPr>
          <w:rFonts w:cs="Arial"/>
        </w:rPr>
        <w:t>the principl</w:t>
      </w:r>
      <w:r w:rsidR="001F7DB5" w:rsidRPr="00CF3475">
        <w:rPr>
          <w:rFonts w:cs="Arial"/>
        </w:rPr>
        <w:t>e</w:t>
      </w:r>
      <w:r w:rsidRPr="00CF3475">
        <w:rPr>
          <w:rFonts w:cs="Arial"/>
        </w:rPr>
        <w:t>s of the ‘</w:t>
      </w:r>
      <w:r w:rsidR="00E546E9" w:rsidRPr="00CF3475">
        <w:rPr>
          <w:rFonts w:cs="Arial"/>
        </w:rPr>
        <w:t>P</w:t>
      </w:r>
      <w:r w:rsidRPr="00CF3475">
        <w:rPr>
          <w:rFonts w:cs="Arial"/>
        </w:rPr>
        <w:t>ledge’ to children in care.</w:t>
      </w:r>
    </w:p>
    <w:p w:rsidR="00F7515A" w:rsidRPr="00CF3475" w:rsidRDefault="00F7515A" w:rsidP="00DF1D3D">
      <w:pPr>
        <w:pStyle w:val="ListParagraph"/>
        <w:numPr>
          <w:ilvl w:val="0"/>
          <w:numId w:val="2"/>
        </w:numPr>
        <w:ind w:left="709" w:hanging="283"/>
        <w:rPr>
          <w:rFonts w:cs="Arial"/>
        </w:rPr>
      </w:pPr>
      <w:r w:rsidRPr="00CF3475">
        <w:rPr>
          <w:rFonts w:cs="Arial"/>
        </w:rPr>
        <w:t>To work closely with our communities and partners to actively promote stability and permanence and reduce the need for placement moves.</w:t>
      </w:r>
    </w:p>
    <w:p w:rsidR="00F7515A" w:rsidRPr="00CF3475" w:rsidRDefault="00F7515A" w:rsidP="00DF1D3D">
      <w:pPr>
        <w:pStyle w:val="ListParagraph"/>
        <w:numPr>
          <w:ilvl w:val="0"/>
          <w:numId w:val="2"/>
        </w:numPr>
        <w:ind w:left="709" w:hanging="283"/>
        <w:rPr>
          <w:rFonts w:cs="Arial"/>
        </w:rPr>
      </w:pPr>
      <w:r w:rsidRPr="00CF3475">
        <w:rPr>
          <w:rFonts w:cs="Arial"/>
        </w:rPr>
        <w:t>To continually ensure that children in care feel safe, are in safe provision and have safe services.</w:t>
      </w:r>
    </w:p>
    <w:p w:rsidR="00F7515A" w:rsidRPr="00CF3475" w:rsidRDefault="00F7515A" w:rsidP="00DF1D3D">
      <w:pPr>
        <w:pStyle w:val="ListParagraph"/>
        <w:numPr>
          <w:ilvl w:val="0"/>
          <w:numId w:val="2"/>
        </w:numPr>
        <w:ind w:left="709" w:hanging="283"/>
        <w:rPr>
          <w:rFonts w:cs="Arial"/>
        </w:rPr>
      </w:pPr>
      <w:r w:rsidRPr="00CF3475">
        <w:rPr>
          <w:rFonts w:cs="Arial"/>
        </w:rPr>
        <w:t>Services offer values for money.</w:t>
      </w:r>
    </w:p>
    <w:p w:rsidR="00F7515A" w:rsidRPr="00CF3475" w:rsidRDefault="00F7515A" w:rsidP="00DF1D3D">
      <w:pPr>
        <w:pStyle w:val="ListParagraph"/>
        <w:numPr>
          <w:ilvl w:val="0"/>
          <w:numId w:val="2"/>
        </w:numPr>
        <w:ind w:left="709" w:hanging="283"/>
        <w:rPr>
          <w:rFonts w:cs="Arial"/>
        </w:rPr>
      </w:pPr>
      <w:r w:rsidRPr="00CF3475">
        <w:rPr>
          <w:rFonts w:cs="Arial"/>
        </w:rPr>
        <w:t xml:space="preserve">To ensure that children and </w:t>
      </w:r>
      <w:r w:rsidR="001F7DB5" w:rsidRPr="00CF3475">
        <w:rPr>
          <w:rFonts w:cs="Arial"/>
        </w:rPr>
        <w:t>young people</w:t>
      </w:r>
      <w:r w:rsidRPr="00CF3475">
        <w:rPr>
          <w:rFonts w:cs="Arial"/>
        </w:rPr>
        <w:t xml:space="preserve"> are involved in planning services.</w:t>
      </w:r>
    </w:p>
    <w:p w:rsidR="00F7515A" w:rsidRPr="00CF3475" w:rsidRDefault="00F7515A" w:rsidP="00DF1D3D">
      <w:pPr>
        <w:pStyle w:val="ListParagraph"/>
        <w:numPr>
          <w:ilvl w:val="0"/>
          <w:numId w:val="2"/>
        </w:numPr>
        <w:ind w:left="709" w:hanging="283"/>
        <w:rPr>
          <w:rFonts w:cs="Arial"/>
        </w:rPr>
      </w:pPr>
      <w:r w:rsidRPr="00CF3475">
        <w:rPr>
          <w:rFonts w:cs="Arial"/>
        </w:rPr>
        <w:t xml:space="preserve">To measurably improve the experience and satisfaction of children and </w:t>
      </w:r>
      <w:r w:rsidR="001F7DB5" w:rsidRPr="00CF3475">
        <w:rPr>
          <w:rFonts w:cs="Arial"/>
        </w:rPr>
        <w:t>young people</w:t>
      </w:r>
      <w:r w:rsidRPr="00CF3475">
        <w:rPr>
          <w:rFonts w:cs="Arial"/>
        </w:rPr>
        <w:t xml:space="preserve"> in care.</w:t>
      </w:r>
    </w:p>
    <w:p w:rsidR="001F7DB5" w:rsidRPr="00CF3475" w:rsidRDefault="001F7DB5" w:rsidP="00DF1D3D">
      <w:pPr>
        <w:pStyle w:val="ListParagraph"/>
        <w:numPr>
          <w:ilvl w:val="0"/>
          <w:numId w:val="2"/>
        </w:numPr>
        <w:ind w:left="709" w:hanging="283"/>
        <w:rPr>
          <w:rFonts w:cs="Arial"/>
        </w:rPr>
      </w:pPr>
      <w:r w:rsidRPr="00CF3475">
        <w:rPr>
          <w:rFonts w:cs="Arial"/>
        </w:rPr>
        <w:t>To quality assure external placements, particularly those out of county, to ensure children receive the best possible care and their views are known</w:t>
      </w:r>
      <w:r w:rsidR="00A92898" w:rsidRPr="00CF3475">
        <w:rPr>
          <w:rFonts w:cs="Arial"/>
        </w:rPr>
        <w:t>.</w:t>
      </w:r>
    </w:p>
    <w:p w:rsidR="00F7515A" w:rsidRPr="00CF3475" w:rsidRDefault="00E546E9" w:rsidP="004D777D">
      <w:pPr>
        <w:pStyle w:val="ListParagraph"/>
        <w:numPr>
          <w:ilvl w:val="0"/>
          <w:numId w:val="2"/>
        </w:numPr>
        <w:ind w:left="709" w:hanging="283"/>
        <w:rPr>
          <w:rFonts w:cs="Arial"/>
        </w:rPr>
      </w:pPr>
      <w:r w:rsidRPr="00CF3475">
        <w:rPr>
          <w:rFonts w:cs="Arial"/>
        </w:rPr>
        <w:t>To meet the requirements of the new Ofsted inspection framework to achieve good or outstanding services</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6.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b w:val="0"/>
          <w:i/>
          <w:color w:val="auto"/>
          <w:u w:val="single"/>
        </w:rPr>
        <w:t>4</w:t>
      </w:r>
      <w:r w:rsidR="00FB3BF4">
        <w:rPr>
          <w:rStyle w:val="SubtleEmphasis"/>
          <w:rFonts w:cs="Arial"/>
          <w:color w:val="auto"/>
          <w:u w:val="single"/>
        </w:rPr>
        <w:t xml:space="preserve"> - </w:t>
      </w:r>
      <w:r w:rsidR="00E546E9" w:rsidRPr="00CF3475">
        <w:rPr>
          <w:rStyle w:val="SubtleEmphasis"/>
          <w:rFonts w:cs="Arial"/>
          <w:color w:val="auto"/>
          <w:u w:val="single"/>
        </w:rPr>
        <w:t>The principles that govern the S</w:t>
      </w:r>
      <w:r w:rsidR="00CF3475">
        <w:rPr>
          <w:rStyle w:val="SubtleEmphasis"/>
          <w:rFonts w:cs="Arial"/>
          <w:color w:val="auto"/>
          <w:u w:val="single"/>
        </w:rPr>
        <w:t>tr</w:t>
      </w:r>
      <w:r w:rsidR="00E546E9" w:rsidRPr="00CF3475">
        <w:rPr>
          <w:rStyle w:val="SubtleEmphasis"/>
          <w:rFonts w:cs="Arial"/>
          <w:color w:val="auto"/>
          <w:u w:val="single"/>
        </w:rPr>
        <w:t>ateg</w:t>
      </w:r>
      <w:r w:rsidR="00EB3730">
        <w:rPr>
          <w:rStyle w:val="SubtleEmphasis"/>
          <w:rFonts w:cs="Arial"/>
          <w:color w:val="auto"/>
          <w:u w:val="single"/>
        </w:rPr>
        <w:t>y are: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should remain with family whenever possible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safe and feel safe.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meet their diverse needs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achieve permanence and stability.</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placed within a 20 mile radius of the city unless it is assessed otherwise.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placed with siblings wherever possible.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are assessed or inspected as good or outstanding. </w:t>
      </w:r>
    </w:p>
    <w:p w:rsidR="00E546E9" w:rsidRPr="00CF3475" w:rsidRDefault="00E546E9" w:rsidP="00FB3BF4">
      <w:pPr>
        <w:pStyle w:val="ListParagraph"/>
        <w:numPr>
          <w:ilvl w:val="0"/>
          <w:numId w:val="10"/>
        </w:numPr>
        <w:ind w:left="709" w:hanging="283"/>
        <w:rPr>
          <w:rFonts w:cs="Arial"/>
        </w:rPr>
      </w:pPr>
      <w:r w:rsidRPr="00CF3475">
        <w:rPr>
          <w:rFonts w:cs="Arial"/>
        </w:rPr>
        <w:t xml:space="preserve">If external placement provision is inspected and judged as requiring improvement or inadequate, the principle applies that the child should move. However, judgment needs to be exercised and an urgent assessment undertaken. This should include the views of the child and his/her IRO.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in placements that are cost effective.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have access to Interventions that build resilience and maximise outcomes.</w:t>
      </w:r>
    </w:p>
    <w:p w:rsidR="001F7DB5" w:rsidRDefault="001F7DB5" w:rsidP="00FB3BF4">
      <w:pPr>
        <w:pStyle w:val="ListParagraph"/>
        <w:numPr>
          <w:ilvl w:val="0"/>
          <w:numId w:val="10"/>
        </w:numPr>
        <w:ind w:left="709" w:hanging="283"/>
        <w:rPr>
          <w:rFonts w:cs="Arial"/>
        </w:rPr>
      </w:pPr>
      <w:r w:rsidRPr="00CF3475">
        <w:rPr>
          <w:rFonts w:cs="Arial"/>
        </w:rPr>
        <w:t>Children and young people are supported and helped with the transition from childhood to adulthood</w:t>
      </w:r>
    </w:p>
    <w:p w:rsidR="00FB3BF4" w:rsidRDefault="00235A9D" w:rsidP="00CF3475">
      <w:pPr>
        <w:rPr>
          <w:rFonts w:cs="Arial"/>
          <w:b/>
          <w:u w:val="single"/>
        </w:rPr>
      </w:pPr>
      <w:r>
        <w:rPr>
          <w:rStyle w:val="SubtleEmphasis"/>
          <w:rFonts w:cs="Arial"/>
          <w:b/>
          <w:i w:val="0"/>
          <w:color w:val="auto"/>
        </w:rPr>
        <w:lastRenderedPageBreak/>
        <w:t xml:space="preserve">7.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Fonts w:cs="Arial"/>
          <w:b/>
          <w:u w:val="single"/>
        </w:rPr>
        <w:t>5</w:t>
      </w:r>
      <w:r w:rsidR="00FB3BF4">
        <w:rPr>
          <w:rFonts w:cs="Arial"/>
          <w:b/>
          <w:u w:val="single"/>
        </w:rPr>
        <w:t xml:space="preserve"> - </w:t>
      </w:r>
      <w:r w:rsidR="00CF3475" w:rsidRPr="00CF3475">
        <w:rPr>
          <w:rFonts w:cs="Arial"/>
          <w:b/>
          <w:u w:val="single"/>
        </w:rPr>
        <w:t>The Sufficiency Duty</w:t>
      </w:r>
      <w:r w:rsidR="00FB3BF4">
        <w:rPr>
          <w:rFonts w:cs="Arial"/>
          <w:b/>
          <w:u w:val="single"/>
        </w:rPr>
        <w:t>:</w:t>
      </w:r>
    </w:p>
    <w:p w:rsidR="00CF3475" w:rsidRDefault="00CF3475" w:rsidP="00CF3475">
      <w:r>
        <w:t xml:space="preserve">The ‘Sufficiency Duty – Accommodation for Looked after Children’ incorporates what is expected of local authorities in providing sufficient accommodation within its area to meet the needs of children that it is looking after; and children whose circumstances are such that it would be consistent with their welfare for them to be provided  with accommodation within the Local Authority area. Therefore the duty applies to all Looked After Children and children and young people who are at risk of coming into care or custody. </w:t>
      </w:r>
    </w:p>
    <w:p w:rsidR="00CF3475" w:rsidRDefault="00CF3475" w:rsidP="00CF3475">
      <w:r>
        <w:t>The sufficiency duty stresses the importance of having services in place that promote preventative action to support children and families so fewer children become looked after as well as ensuring there is sufficient accommodation available to meet the needs of children who are or become looked after.</w:t>
      </w:r>
    </w:p>
    <w:p w:rsidR="00CF3475" w:rsidRDefault="00CF3475" w:rsidP="00CF3475">
      <w:r>
        <w:t>Underpinning the provision of placements for children and young people is that the placement must be the most appropriate available. Preference must be given to a placement with family or friends or other persons connected to the child who is or could be assessed as a Local Authority Foster Carer. If this is not possible then the placement needs to address a number of practicalities and in most circumstances the following factors will have to be considered:</w:t>
      </w:r>
    </w:p>
    <w:p w:rsidR="00CF3475" w:rsidRDefault="00CF3475" w:rsidP="00272D0E">
      <w:pPr>
        <w:pStyle w:val="ListParagraph"/>
        <w:numPr>
          <w:ilvl w:val="0"/>
          <w:numId w:val="3"/>
        </w:numPr>
      </w:pPr>
      <w:r>
        <w:t>Is near to the child’s home</w:t>
      </w:r>
    </w:p>
    <w:p w:rsidR="00CF3475" w:rsidRDefault="00CF3475" w:rsidP="00272D0E">
      <w:pPr>
        <w:pStyle w:val="ListParagraph"/>
        <w:numPr>
          <w:ilvl w:val="0"/>
          <w:numId w:val="3"/>
        </w:numPr>
      </w:pPr>
      <w:r>
        <w:t>Does not disrupt his/her education or training.</w:t>
      </w:r>
    </w:p>
    <w:p w:rsidR="00CF3475" w:rsidRDefault="00CF3475" w:rsidP="00272D0E">
      <w:pPr>
        <w:pStyle w:val="ListParagraph"/>
        <w:numPr>
          <w:ilvl w:val="0"/>
          <w:numId w:val="3"/>
        </w:numPr>
      </w:pPr>
      <w:r>
        <w:t>Enables the child to live with accommodated sibling/siblings.</w:t>
      </w:r>
    </w:p>
    <w:p w:rsidR="00CF3475" w:rsidRDefault="00CF3475" w:rsidP="00272D0E">
      <w:pPr>
        <w:pStyle w:val="ListParagraph"/>
        <w:numPr>
          <w:ilvl w:val="0"/>
          <w:numId w:val="3"/>
        </w:numPr>
      </w:pPr>
      <w:r>
        <w:t>Is within the Local Authority’s area unless this is not reasonably practical or is assessed as not desirable.</w:t>
      </w:r>
    </w:p>
    <w:p w:rsidR="00CF3475" w:rsidRDefault="00CF3475" w:rsidP="00CF3475">
      <w:r>
        <w:t>The majority of Looked After Children will be placed within the Local Authority area. However, some children need specialist services, or may need further safeguarding and it may be necessary to place them in another Local authority area. In making decisions about these placements family networks and access to support systems must be considered.</w:t>
      </w:r>
    </w:p>
    <w:p w:rsidR="00CF3475" w:rsidRDefault="00CF3475" w:rsidP="00CF3475">
      <w:r>
        <w:t>If challenged the Local authority should be able to demonstrate that it has done all that is reasonable practicable to secure sufficiency.</w:t>
      </w:r>
      <w:r w:rsidRPr="009B275C">
        <w:t xml:space="preserve"> </w:t>
      </w:r>
    </w:p>
    <w:p w:rsidR="00CF3475" w:rsidRDefault="00CF3475" w:rsidP="00CF3475">
      <w:r>
        <w:lastRenderedPageBreak/>
        <w:t xml:space="preserve">Placement sufficiency and planning is not a straightforward process as needs as the profile of the care population changes. For example, pressures in 2012 related to teenage LAC mothers requiring placements with their children, and placements for Asian girls identified as at risk of forced marriage or honour based violence. Pressures in 2013 so far are placements for older teenage autistic boys, and placements for girls exhibiting extreme self-harm and mental health difficulties. </w:t>
      </w:r>
    </w:p>
    <w:p w:rsidR="00CF3475" w:rsidRDefault="00CF3475" w:rsidP="00CF3475">
      <w:r>
        <w:t>Locally work has taken place in respect of the L</w:t>
      </w:r>
      <w:r w:rsidR="008E257F">
        <w:t>eicester Access to Resources Panel (L</w:t>
      </w:r>
      <w:r>
        <w:t>ARP</w:t>
      </w:r>
      <w:r w:rsidR="008E257F">
        <w:t>)</w:t>
      </w:r>
      <w:r>
        <w:t xml:space="preserve"> outcomes, placement stability, Section 20 admissions, and further work is planned in respect of </w:t>
      </w:r>
    </w:p>
    <w:p w:rsidR="00CF3475" w:rsidRDefault="00CF3475" w:rsidP="00272D0E">
      <w:pPr>
        <w:pStyle w:val="ListParagraph"/>
        <w:numPr>
          <w:ilvl w:val="0"/>
          <w:numId w:val="9"/>
        </w:numPr>
      </w:pPr>
      <w:r>
        <w:t xml:space="preserve">children who go home from care </w:t>
      </w:r>
    </w:p>
    <w:p w:rsidR="00CF3475" w:rsidRDefault="00CF3475" w:rsidP="00272D0E">
      <w:pPr>
        <w:pStyle w:val="ListParagraph"/>
        <w:numPr>
          <w:ilvl w:val="0"/>
          <w:numId w:val="9"/>
        </w:numPr>
      </w:pPr>
      <w:r>
        <w:t xml:space="preserve">timescales for completion of care proceedings </w:t>
      </w:r>
    </w:p>
    <w:p w:rsidR="00CF3475" w:rsidRDefault="00CF3475" w:rsidP="00272D0E">
      <w:pPr>
        <w:pStyle w:val="ListParagraph"/>
        <w:numPr>
          <w:ilvl w:val="0"/>
          <w:numId w:val="9"/>
        </w:numPr>
      </w:pPr>
      <w:r>
        <w:t xml:space="preserve">transformation of placement making services </w:t>
      </w:r>
    </w:p>
    <w:p w:rsidR="00CF3475" w:rsidRDefault="00CF3475" w:rsidP="00272D0E">
      <w:pPr>
        <w:pStyle w:val="ListParagraph"/>
        <w:numPr>
          <w:ilvl w:val="0"/>
          <w:numId w:val="9"/>
        </w:numPr>
      </w:pPr>
      <w:r>
        <w:t xml:space="preserve">refinements to  care planning and tracking processes </w:t>
      </w:r>
    </w:p>
    <w:p w:rsidR="00CF3475" w:rsidRDefault="00CF3475" w:rsidP="00272D0E">
      <w:pPr>
        <w:pStyle w:val="ListParagraph"/>
        <w:numPr>
          <w:ilvl w:val="0"/>
          <w:numId w:val="9"/>
        </w:numPr>
      </w:pPr>
      <w:r>
        <w:t>Southwark LAC</w:t>
      </w:r>
    </w:p>
    <w:p w:rsidR="008E257F" w:rsidRDefault="008E257F" w:rsidP="00272D0E">
      <w:pPr>
        <w:pStyle w:val="ListParagraph"/>
        <w:numPr>
          <w:ilvl w:val="0"/>
          <w:numId w:val="9"/>
        </w:numPr>
      </w:pPr>
      <w:r>
        <w:t xml:space="preserve">Accommodation for 16 plus </w:t>
      </w:r>
    </w:p>
    <w:p w:rsidR="00CF3475" w:rsidRDefault="00CF3475" w:rsidP="00272D0E">
      <w:pPr>
        <w:pStyle w:val="ListParagraph"/>
        <w:numPr>
          <w:ilvl w:val="0"/>
          <w:numId w:val="9"/>
        </w:numPr>
      </w:pPr>
      <w:r>
        <w:t xml:space="preserve">Deep dive analysis of young people who are repeat remands with YOS </w:t>
      </w:r>
    </w:p>
    <w:p w:rsidR="00CF3475" w:rsidRDefault="00CF3475" w:rsidP="00CF3475">
      <w:r>
        <w:t xml:space="preserve">A detailed audit of all LAC in care for two years or more was completed in November 2013. This identified a number of cases which could possibly progress to an SGO, transfer to Section 24 (care leaver) or be rehabilitated home if safe to do so.  </w:t>
      </w:r>
    </w:p>
    <w:p w:rsidR="00CF3475" w:rsidRDefault="00CF3475" w:rsidP="00CF3475">
      <w:r>
        <w:t xml:space="preserve">This audit will inform strategic work within the LAC service in the coming 6 -12 months, and complements the work streams above. </w:t>
      </w:r>
    </w:p>
    <w:p w:rsidR="00674370" w:rsidRDefault="00674370" w:rsidP="00EB3730">
      <w:pPr>
        <w:rPr>
          <w:rStyle w:val="SubtleEmphasis"/>
          <w:rFonts w:cs="Arial"/>
          <w:b/>
          <w:i w:val="0"/>
          <w:color w:val="auto"/>
        </w:rPr>
      </w:pPr>
    </w:p>
    <w:p w:rsidR="00FB3BF4" w:rsidRPr="00EB3730" w:rsidRDefault="00235A9D" w:rsidP="00EB3730">
      <w:pPr>
        <w:rPr>
          <w:b/>
          <w:u w:val="single"/>
        </w:rPr>
      </w:pPr>
      <w:r>
        <w:rPr>
          <w:rStyle w:val="SubtleEmphasis"/>
          <w:rFonts w:cs="Arial"/>
          <w:b/>
          <w:i w:val="0"/>
          <w:color w:val="auto"/>
        </w:rPr>
        <w:t xml:space="preserve">8.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Style w:val="SubtleEmphasis"/>
          <w:rFonts w:cs="Arial"/>
          <w:b/>
          <w:i w:val="0"/>
          <w:color w:val="auto"/>
          <w:u w:val="single"/>
        </w:rPr>
        <w:t>6</w:t>
      </w:r>
      <w:r w:rsidR="00FB3BF4">
        <w:rPr>
          <w:rStyle w:val="SubtleEmphasis"/>
          <w:rFonts w:cs="Arial"/>
          <w:b/>
          <w:i w:val="0"/>
          <w:color w:val="auto"/>
          <w:u w:val="single"/>
        </w:rPr>
        <w:t xml:space="preserve"> - </w:t>
      </w:r>
      <w:r w:rsidR="00E97CFA" w:rsidRPr="00EB3730">
        <w:rPr>
          <w:b/>
          <w:u w:val="single"/>
        </w:rPr>
        <w:t>Existing provision</w:t>
      </w:r>
      <w:r w:rsidR="00FB3BF4">
        <w:rPr>
          <w:b/>
          <w:u w:val="single"/>
        </w:rPr>
        <w:t>:</w:t>
      </w:r>
    </w:p>
    <w:p w:rsidR="00E97CFA" w:rsidRDefault="00E97CFA" w:rsidP="00E97CFA">
      <w:r>
        <w:t xml:space="preserve"> </w:t>
      </w:r>
      <w:r w:rsidR="002E1BE6">
        <w:t xml:space="preserve">Leicester City has maintained in house residential provision, and is an Adoption and Fostering agency.  </w:t>
      </w:r>
    </w:p>
    <w:p w:rsidR="00E97CFA" w:rsidRDefault="00E97CFA" w:rsidP="00E97CFA">
      <w:r>
        <w:lastRenderedPageBreak/>
        <w:t xml:space="preserve">There are </w:t>
      </w:r>
      <w:r w:rsidR="002E1BE6">
        <w:t>five re</w:t>
      </w:r>
      <w:r>
        <w:t xml:space="preserve">sidential </w:t>
      </w:r>
      <w:r w:rsidR="002E1BE6">
        <w:t>h</w:t>
      </w:r>
      <w:r>
        <w:t>omes</w:t>
      </w:r>
      <w:r w:rsidR="002E1BE6">
        <w:t xml:space="preserve"> </w:t>
      </w:r>
      <w:r>
        <w:t xml:space="preserve">geographically dispersed across the city offering a range of provision to meet the needs of children and young people where residential care is a positive alternative to foster care.  </w:t>
      </w:r>
    </w:p>
    <w:p w:rsidR="00E97CFA" w:rsidRDefault="00E97CFA" w:rsidP="00E97CFA">
      <w:r>
        <w:t>Barnes Heath House:</w:t>
      </w:r>
      <w:r w:rsidR="002E1BE6">
        <w:t xml:space="preserve"> </w:t>
      </w:r>
      <w:r>
        <w:t>offers 9 places for young people with learning disabilities and complex health needs. Primary focus is to provide short breaks. It also provides emergency/assessment facilities and medium term care when needed.</w:t>
      </w:r>
    </w:p>
    <w:p w:rsidR="00E97CFA" w:rsidRDefault="00E97CFA" w:rsidP="00E97CFA">
      <w:r>
        <w:t>Dunblane Avenue: offers 7 medium term places to young men and women.</w:t>
      </w:r>
    </w:p>
    <w:p w:rsidR="00E97CFA" w:rsidRDefault="00E97CFA" w:rsidP="00E97CFA">
      <w:r>
        <w:t>Netherhall Road: offers 7 medium term places to young men and women with learning difficulties and disabilities.</w:t>
      </w:r>
    </w:p>
    <w:p w:rsidR="00E97CFA" w:rsidRDefault="00E97CFA" w:rsidP="00E97CFA">
      <w:r>
        <w:t>Tatlow Road: offers 6 medium term places to young men and women.</w:t>
      </w:r>
    </w:p>
    <w:p w:rsidR="00E97CFA" w:rsidRDefault="00E97CFA" w:rsidP="00E97CFA">
      <w:r>
        <w:t>Wigston Lane: offers 10 medium term places to young men.</w:t>
      </w:r>
    </w:p>
    <w:p w:rsidR="00E97CFA" w:rsidRDefault="00E97CFA" w:rsidP="00E97CFA">
      <w:r>
        <w:t xml:space="preserve">Leicester City’s Fostering service offers placements for approx. 350 children with 251 carers. This number will fluctuate as foster carers are deregistered or </w:t>
      </w:r>
      <w:r w:rsidR="00503830">
        <w:t>retire</w:t>
      </w:r>
      <w:r>
        <w:t xml:space="preserve"> and new carers recruited. There are approx. 90 children placed with 75 kinship carers.  The </w:t>
      </w:r>
      <w:r w:rsidR="00503830">
        <w:t>f</w:t>
      </w:r>
      <w:r>
        <w:t>ostering service retained its outstanding Ofsted judgment in 2012.</w:t>
      </w:r>
    </w:p>
    <w:p w:rsidR="00E97CFA" w:rsidRDefault="00E97CFA" w:rsidP="00E97CFA">
      <w:r>
        <w:t xml:space="preserve">The Adoption service disaggregated from the joint arrangement with Leicestershire County Council in 2012. It is now a </w:t>
      </w:r>
      <w:r w:rsidR="00503830">
        <w:t>stand-alone</w:t>
      </w:r>
      <w:r>
        <w:t xml:space="preserve"> adoption agency, which received a good judgment from the Ofsted inspection in 2013. </w:t>
      </w:r>
    </w:p>
    <w:p w:rsidR="00E97CFA" w:rsidRDefault="00E97CFA" w:rsidP="00E97CFA">
      <w:r>
        <w:t>Numbers of children adopted is increasing, with the highest ever number, 30</w:t>
      </w:r>
      <w:r w:rsidR="00056CDD">
        <w:t>,</w:t>
      </w:r>
      <w:r>
        <w:t xml:space="preserve"> in 2012-2013. It is anticipated that th</w:t>
      </w:r>
      <w:r w:rsidR="00056CDD">
        <w:t>ere will</w:t>
      </w:r>
      <w:r>
        <w:t xml:space="preserve"> be in the region of 40 adoptions for the current year, with 29 Orders made by Christmas. </w:t>
      </w:r>
    </w:p>
    <w:p w:rsidR="00503830" w:rsidRDefault="00E97CFA" w:rsidP="00E97CFA">
      <w:r>
        <w:t>Externally commissioned placements are part of Leicester City Council’s portfolio of placements provided for Looked After Children, young people and in exceptional circumstances their parents. Placement provision includes foster care provision and residential children homes</w:t>
      </w:r>
      <w:r w:rsidR="00503830">
        <w:t xml:space="preserve">. The majority of external </w:t>
      </w:r>
      <w:r w:rsidR="00503830">
        <w:lastRenderedPageBreak/>
        <w:t>placements are within the county, and children are only paced outside of the county if there are particular risk factors or if there isn’t provision available more locally to meet their needs, e.g. a residential school for child with disability.</w:t>
      </w:r>
    </w:p>
    <w:p w:rsidR="00E97CFA" w:rsidRDefault="00056CDD" w:rsidP="00E97CFA">
      <w:r>
        <w:t>At end of September 2013, there were 58 children placed in a range of external placements (this does not include 5 young people in custody, who didn’t have a LAC status in September 2012), compared with 89 in September 2012. This represents a 35% decrease</w:t>
      </w:r>
      <w:r w:rsidR="00503830">
        <w:t xml:space="preserve"> in external placements at a time when LAC numbers are increasing. </w:t>
      </w:r>
    </w:p>
    <w:p w:rsidR="00503830" w:rsidRDefault="00503830" w:rsidP="00E97CFA">
      <w:r>
        <w:t>As of April 2013, the local authority became responsible for paying costs of young people remanded to any form of secure setting. Leicester has a low number of remands, and creative bail packages are offered by YOS in the majority of cases, unless there is an obvious reason why this isn’t appropriate. From a local authority perspective, whilst we pay for the provision we have no control over where the young person is placed, or what the quality of that provision is. All remanded young people are now LAC, and this does have an impact on the numbers of 15-17 years olds in care</w:t>
      </w:r>
      <w:r w:rsidR="0039417F">
        <w:t>.</w:t>
      </w:r>
      <w:r>
        <w:t xml:space="preserve"> </w:t>
      </w:r>
    </w:p>
    <w:p w:rsidR="007169EA" w:rsidRPr="007169EA" w:rsidRDefault="00235A9D" w:rsidP="007169EA">
      <w:pPr>
        <w:rPr>
          <w:b/>
          <w:u w:val="single"/>
        </w:rPr>
      </w:pPr>
      <w:r>
        <w:rPr>
          <w:b/>
        </w:rPr>
        <w:t xml:space="preserve">9. </w:t>
      </w:r>
      <w:r w:rsidR="007169EA" w:rsidRPr="007169EA">
        <w:rPr>
          <w:b/>
          <w:u w:val="single"/>
        </w:rPr>
        <w:t xml:space="preserve">Appendix </w:t>
      </w:r>
      <w:r w:rsidR="00900251">
        <w:rPr>
          <w:b/>
          <w:u w:val="single"/>
        </w:rPr>
        <w:t>7</w:t>
      </w:r>
      <w:r w:rsidR="00BE5231">
        <w:rPr>
          <w:b/>
          <w:u w:val="single"/>
        </w:rPr>
        <w:t xml:space="preserve">: </w:t>
      </w:r>
      <w:r w:rsidR="00900251">
        <w:rPr>
          <w:b/>
          <w:u w:val="single"/>
        </w:rPr>
        <w:t>D</w:t>
      </w:r>
      <w:r w:rsidR="00BE5231">
        <w:rPr>
          <w:b/>
          <w:u w:val="single"/>
        </w:rPr>
        <w:t>ata that informs the Commissioning Strategy priorities</w:t>
      </w:r>
    </w:p>
    <w:p w:rsidR="00943045" w:rsidRDefault="007169EA" w:rsidP="00272D0E">
      <w:pPr>
        <w:pStyle w:val="ListParagraph"/>
        <w:numPr>
          <w:ilvl w:val="0"/>
          <w:numId w:val="12"/>
        </w:numPr>
        <w:ind w:hanging="294"/>
      </w:pPr>
      <w:r>
        <w:t>K</w:t>
      </w:r>
      <w:r w:rsidR="00943045">
        <w:t>ey data on a national basis</w:t>
      </w:r>
      <w:r w:rsidR="00B62A2B">
        <w:t xml:space="preserve"> and local </w:t>
      </w:r>
      <w:r>
        <w:t>basis</w:t>
      </w:r>
    </w:p>
    <w:p w:rsidR="007169EA" w:rsidRDefault="007169EA" w:rsidP="00272D0E">
      <w:pPr>
        <w:pStyle w:val="ListParagraph"/>
        <w:numPr>
          <w:ilvl w:val="0"/>
          <w:numId w:val="12"/>
        </w:numPr>
        <w:ind w:hanging="294"/>
      </w:pPr>
      <w:r>
        <w:t xml:space="preserve">Historical </w:t>
      </w:r>
      <w:r w:rsidR="00BE5231">
        <w:t>Lac numbers data</w:t>
      </w:r>
      <w:r>
        <w:t xml:space="preserve"> for years 2009-2013 </w:t>
      </w:r>
    </w:p>
    <w:p w:rsidR="007169EA" w:rsidRDefault="007169EA" w:rsidP="00272D0E">
      <w:pPr>
        <w:pStyle w:val="ListParagraph"/>
        <w:numPr>
          <w:ilvl w:val="0"/>
          <w:numId w:val="12"/>
        </w:numPr>
        <w:ind w:hanging="294"/>
      </w:pPr>
      <w:r>
        <w:t>LAC numbers in Leicester by legal status from August 2012-Augsut2013</w:t>
      </w:r>
    </w:p>
    <w:p w:rsidR="00BE5231" w:rsidRDefault="00BE5231" w:rsidP="00272D0E">
      <w:pPr>
        <w:pStyle w:val="ListParagraph"/>
        <w:numPr>
          <w:ilvl w:val="0"/>
          <w:numId w:val="12"/>
        </w:numPr>
        <w:ind w:hanging="294"/>
      </w:pPr>
      <w:r w:rsidRPr="00BE5231">
        <w:t xml:space="preserve">Children who ceased to be looked after reason codes, during the year ending 31 March 2013  </w:t>
      </w:r>
    </w:p>
    <w:p w:rsidR="00943045" w:rsidRDefault="00E806E0" w:rsidP="00272D0E">
      <w:pPr>
        <w:pStyle w:val="ListParagraph"/>
        <w:numPr>
          <w:ilvl w:val="1"/>
          <w:numId w:val="12"/>
        </w:numPr>
        <w:ind w:left="709" w:hanging="294"/>
      </w:pPr>
      <w:r w:rsidRPr="00E806E0">
        <w:t xml:space="preserve">CYP who started to be looked after during the year ending 31st March 2013 by gender and age  </w:t>
      </w:r>
    </w:p>
    <w:p w:rsidR="00B03246" w:rsidRDefault="007169EA" w:rsidP="00272D0E">
      <w:pPr>
        <w:pStyle w:val="ListParagraph"/>
        <w:numPr>
          <w:ilvl w:val="0"/>
          <w:numId w:val="12"/>
        </w:numPr>
        <w:ind w:hanging="294"/>
      </w:pPr>
      <w:r>
        <w:t>Breakdown of ethnicity of LAC over a 3 year period</w:t>
      </w:r>
    </w:p>
    <w:p w:rsidR="003360B2" w:rsidRPr="003360B2" w:rsidRDefault="00235A9D" w:rsidP="003360B2">
      <w:pPr>
        <w:rPr>
          <w:b/>
          <w:u w:val="single"/>
        </w:rPr>
      </w:pPr>
      <w:r>
        <w:rPr>
          <w:b/>
        </w:rPr>
        <w:t xml:space="preserve">10. </w:t>
      </w:r>
      <w:r w:rsidR="003360B2" w:rsidRPr="003360B2">
        <w:rPr>
          <w:b/>
          <w:u w:val="single"/>
        </w:rPr>
        <w:t xml:space="preserve">Appendix </w:t>
      </w:r>
      <w:r w:rsidR="00900251">
        <w:rPr>
          <w:b/>
          <w:u w:val="single"/>
        </w:rPr>
        <w:t>8</w:t>
      </w:r>
      <w:r w:rsidR="003360B2" w:rsidRPr="003360B2">
        <w:rPr>
          <w:b/>
          <w:u w:val="single"/>
        </w:rPr>
        <w:t>: Commissioning priorities</w:t>
      </w:r>
      <w:r w:rsidR="00B76623">
        <w:rPr>
          <w:b/>
          <w:u w:val="single"/>
        </w:rPr>
        <w:t xml:space="preserve"> </w:t>
      </w:r>
    </w:p>
    <w:p w:rsidR="00B76623" w:rsidRPr="00B76623" w:rsidRDefault="009D5BC5" w:rsidP="00B76623">
      <w:pPr>
        <w:rPr>
          <w:u w:val="single"/>
        </w:rPr>
      </w:pPr>
      <w:r w:rsidRPr="00B76623">
        <w:rPr>
          <w:u w:val="single"/>
        </w:rPr>
        <w:t xml:space="preserve">Commissioning </w:t>
      </w:r>
      <w:r>
        <w:rPr>
          <w:u w:val="single"/>
        </w:rPr>
        <w:t>Priority</w:t>
      </w:r>
      <w:r w:rsidR="00B76623" w:rsidRPr="00B76623">
        <w:rPr>
          <w:u w:val="single"/>
        </w:rPr>
        <w:t xml:space="preserve"> 1. </w:t>
      </w:r>
    </w:p>
    <w:p w:rsidR="0017416A" w:rsidRDefault="00B76623" w:rsidP="00B76623">
      <w:r>
        <w:t>To work in partnership with early help and edge of care services so that the right children become LAC, at the right time</w:t>
      </w:r>
    </w:p>
    <w:p w:rsidR="00B76623" w:rsidRPr="00B76623" w:rsidRDefault="009D5BC5" w:rsidP="00B76623">
      <w:pPr>
        <w:rPr>
          <w:u w:val="single"/>
        </w:rPr>
      </w:pPr>
      <w:r w:rsidRPr="00B76623">
        <w:rPr>
          <w:u w:val="single"/>
        </w:rPr>
        <w:lastRenderedPageBreak/>
        <w:t xml:space="preserve">Commissioning </w:t>
      </w:r>
      <w:r>
        <w:rPr>
          <w:u w:val="single"/>
        </w:rPr>
        <w:t>Priority</w:t>
      </w:r>
      <w:r w:rsidR="00B76623" w:rsidRPr="00B76623">
        <w:rPr>
          <w:u w:val="single"/>
        </w:rPr>
        <w:t xml:space="preserve"> 2</w:t>
      </w:r>
    </w:p>
    <w:p w:rsidR="00B76623" w:rsidRDefault="00B76623" w:rsidP="00B76623">
      <w:r>
        <w:t xml:space="preserve">To have sufficient high quality placements that provide consistently good and outstanding care to children so their assessed needs are met and children achieve to their full potential.   </w:t>
      </w:r>
    </w:p>
    <w:p w:rsidR="00B76623" w:rsidRPr="00B76623" w:rsidRDefault="00900251" w:rsidP="00B76623">
      <w:pPr>
        <w:rPr>
          <w:u w:val="single"/>
        </w:rPr>
      </w:pPr>
      <w:r>
        <w:rPr>
          <w:u w:val="single"/>
        </w:rPr>
        <w:t>Commissioning Priority 3</w:t>
      </w:r>
      <w:r w:rsidR="00B76623" w:rsidRPr="00B76623">
        <w:rPr>
          <w:u w:val="single"/>
        </w:rPr>
        <w:t xml:space="preserve"> </w:t>
      </w:r>
    </w:p>
    <w:p w:rsidR="00B76623" w:rsidRDefault="00B76623" w:rsidP="00B76623">
      <w:r>
        <w:t>To meet the needs of severely disabled children, including</w:t>
      </w:r>
      <w:r w:rsidR="00900251">
        <w:t xml:space="preserve"> those with mental health needs</w:t>
      </w:r>
    </w:p>
    <w:p w:rsidR="00B76623" w:rsidRPr="00B76623" w:rsidRDefault="00B76623" w:rsidP="00B76623">
      <w:pPr>
        <w:rPr>
          <w:u w:val="single"/>
        </w:rPr>
      </w:pPr>
      <w:r w:rsidRPr="00B76623">
        <w:rPr>
          <w:u w:val="single"/>
        </w:rPr>
        <w:t xml:space="preserve">Commissioning Priority 4 </w:t>
      </w:r>
    </w:p>
    <w:p w:rsidR="00B76623" w:rsidRDefault="00B76623" w:rsidP="00B76623">
      <w:r>
        <w:t>To scope and undertake a specific project to secure suitable accommodation for 16+ young people and care leavers</w:t>
      </w:r>
    </w:p>
    <w:p w:rsidR="00B76623" w:rsidRPr="00B76623" w:rsidRDefault="00B76623" w:rsidP="00B76623">
      <w:pPr>
        <w:rPr>
          <w:u w:val="single"/>
        </w:rPr>
      </w:pPr>
      <w:r w:rsidRPr="00B76623">
        <w:rPr>
          <w:u w:val="single"/>
        </w:rPr>
        <w:t>Commissioning Priority 5</w:t>
      </w:r>
    </w:p>
    <w:p w:rsidR="00B76623" w:rsidRDefault="00B76623" w:rsidP="00B76623">
      <w:r>
        <w:t>To ensure value for money across the board in placement provision within the allocated budget</w:t>
      </w:r>
    </w:p>
    <w:p w:rsidR="00B76623" w:rsidRPr="00B76623" w:rsidRDefault="00B76623" w:rsidP="00B76623">
      <w:pPr>
        <w:rPr>
          <w:u w:val="single"/>
        </w:rPr>
      </w:pPr>
      <w:r w:rsidRPr="00B76623">
        <w:rPr>
          <w:u w:val="single"/>
        </w:rPr>
        <w:t xml:space="preserve">Commissioning </w:t>
      </w:r>
      <w:r>
        <w:rPr>
          <w:u w:val="single"/>
        </w:rPr>
        <w:t>P</w:t>
      </w:r>
      <w:r w:rsidRPr="00B76623">
        <w:rPr>
          <w:u w:val="single"/>
        </w:rPr>
        <w:t>riority 6</w:t>
      </w:r>
    </w:p>
    <w:p w:rsidR="00B76623" w:rsidRDefault="00B76623" w:rsidP="00B76623">
      <w:r>
        <w:t>To interpret national and local data to inform placement planning, identify gaps in provision and anticipate emerging need resulting in responsive and dynamic recruitment and commissioning strategies.</w:t>
      </w:r>
    </w:p>
    <w:p w:rsidR="00B76623" w:rsidRDefault="00B76623" w:rsidP="00BB1279"/>
    <w:p w:rsidR="0014780B" w:rsidRPr="00235A9D" w:rsidRDefault="00235A9D" w:rsidP="0014780B">
      <w:pPr>
        <w:pStyle w:val="Heading2"/>
        <w:rPr>
          <w:rFonts w:asciiTheme="minorHAnsi" w:hAnsiTheme="minorHAnsi" w:cs="Arial"/>
          <w:color w:val="auto"/>
          <w:sz w:val="22"/>
          <w:szCs w:val="22"/>
          <w:u w:val="single"/>
          <w:lang w:val="en"/>
        </w:rPr>
      </w:pPr>
      <w:r>
        <w:rPr>
          <w:rFonts w:asciiTheme="minorHAnsi" w:hAnsiTheme="minorHAnsi" w:cs="Arial"/>
          <w:color w:val="auto"/>
          <w:sz w:val="22"/>
          <w:szCs w:val="22"/>
        </w:rPr>
        <w:lastRenderedPageBreak/>
        <w:t xml:space="preserve">11. </w:t>
      </w:r>
      <w:r w:rsidR="00900251" w:rsidRPr="00235A9D">
        <w:rPr>
          <w:rFonts w:asciiTheme="minorHAnsi" w:hAnsiTheme="minorHAnsi" w:cs="Arial"/>
          <w:color w:val="auto"/>
          <w:sz w:val="22"/>
          <w:szCs w:val="22"/>
          <w:u w:val="single"/>
        </w:rPr>
        <w:t>Appendix</w:t>
      </w:r>
      <w:r w:rsidR="00900251" w:rsidRPr="00235A9D">
        <w:rPr>
          <w:rFonts w:asciiTheme="minorHAnsi" w:hAnsiTheme="minorHAnsi" w:cs="Arial"/>
          <w:color w:val="auto"/>
          <w:sz w:val="22"/>
          <w:szCs w:val="22"/>
          <w:u w:val="single"/>
          <w:lang w:val="en"/>
        </w:rPr>
        <w:t xml:space="preserve"> 9: </w:t>
      </w:r>
      <w:r w:rsidR="0014780B" w:rsidRPr="00235A9D">
        <w:rPr>
          <w:rFonts w:asciiTheme="minorHAnsi" w:hAnsiTheme="minorHAnsi" w:cs="Arial"/>
          <w:color w:val="auto"/>
          <w:sz w:val="22"/>
          <w:szCs w:val="22"/>
          <w:u w:val="single"/>
          <w:lang w:val="en"/>
        </w:rPr>
        <w:t>Key points (Looked After Children in England for the year ending 31</w:t>
      </w:r>
      <w:r w:rsidR="0014780B" w:rsidRPr="00235A9D">
        <w:rPr>
          <w:rFonts w:asciiTheme="minorHAnsi" w:hAnsiTheme="minorHAnsi" w:cs="Arial"/>
          <w:color w:val="auto"/>
          <w:sz w:val="22"/>
          <w:szCs w:val="22"/>
          <w:u w:val="single"/>
          <w:vertAlign w:val="superscript"/>
          <w:lang w:val="en"/>
        </w:rPr>
        <w:t>St</w:t>
      </w:r>
      <w:r w:rsidR="0014780B" w:rsidRPr="00235A9D">
        <w:rPr>
          <w:rFonts w:asciiTheme="minorHAnsi" w:hAnsiTheme="minorHAnsi" w:cs="Arial"/>
          <w:color w:val="auto"/>
          <w:sz w:val="22"/>
          <w:szCs w:val="22"/>
          <w:u w:val="single"/>
          <w:lang w:val="en"/>
        </w:rPr>
        <w:t xml:space="preserve">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68,110 looked-after children at 31 March 2013, an increase of 2% compared to 31 March 2012 and an increase of 12% compared to 31 March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Of children looked after at 31 March 2013, 50,900 were cared for in a foster placement. This represents 75% of all children looked after at 31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28,830 children who started to be looked after during the year ending 31 March 2013, an increase of 2% from 2012 and an increase of 12%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28,460 children who ceased to be looked after during the year ending 31 March 2013. This is an increase of 3% from 2012 and an increase of 14%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 xml:space="preserve">There were 3,980 looked-after children adopted during the year ending 31 March 2013, an increase of 15% from 2012 and an increase of 20% from 2009. </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Although the number of looked-after children adopted fell between both 2009 and 2010, and 2010 and 2011, the number of these adoptions has since increased and is now at its highest point since the start of the current data collection in 1992.</w:t>
      </w:r>
    </w:p>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LAC as at 31</w:t>
      </w:r>
      <w:r w:rsidRPr="004F29CE">
        <w:rPr>
          <w:rFonts w:asciiTheme="minorHAnsi" w:hAnsiTheme="minorHAnsi" w:cs="Arial"/>
          <w:b/>
          <w:sz w:val="22"/>
          <w:szCs w:val="22"/>
          <w:vertAlign w:val="superscript"/>
          <w:lang w:val="en"/>
        </w:rPr>
        <w:t>st</w:t>
      </w:r>
      <w:r w:rsidRPr="004F29CE">
        <w:rPr>
          <w:rFonts w:asciiTheme="minorHAnsi" w:hAnsiTheme="minorHAnsi" w:cs="Arial"/>
          <w:b/>
          <w:sz w:val="22"/>
          <w:szCs w:val="22"/>
          <w:lang w:val="en"/>
        </w:rPr>
        <w:t xml:space="preserve"> March (and rate per 10,000 population) (snapshot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2009</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2010</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2011</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2012</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455 (61)</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480 (63)</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500(65)</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525(67)</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520 (67)</w:t>
            </w:r>
          </w:p>
        </w:tc>
      </w:tr>
    </w:tbl>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Children looked after at any point during the year (activity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tabs>
                <w:tab w:val="center" w:pos="1309"/>
              </w:tabs>
              <w:rPr>
                <w:rFonts w:asciiTheme="minorHAnsi" w:hAnsiTheme="minorHAnsi"/>
                <w:b/>
                <w:sz w:val="22"/>
                <w:szCs w:val="22"/>
                <w:lang w:val="en"/>
              </w:rPr>
            </w:pPr>
            <w:r w:rsidRPr="004F29CE">
              <w:rPr>
                <w:rFonts w:asciiTheme="minorHAnsi" w:hAnsiTheme="minorHAnsi"/>
                <w:b/>
                <w:sz w:val="22"/>
                <w:szCs w:val="22"/>
                <w:lang w:val="en"/>
              </w:rPr>
              <w:t>2009</w:t>
            </w:r>
            <w:r w:rsidRPr="004F29CE">
              <w:rPr>
                <w:rFonts w:asciiTheme="minorHAnsi" w:hAnsiTheme="minorHAnsi"/>
                <w:b/>
                <w:sz w:val="22"/>
                <w:szCs w:val="22"/>
                <w:lang w:val="en"/>
              </w:rPr>
              <w:tab/>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2010</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2011</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2012</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lastRenderedPageBreak/>
              <w:t>630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670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655</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700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752</w:t>
            </w:r>
          </w:p>
        </w:tc>
      </w:tr>
    </w:tbl>
    <w:p w:rsidR="0014780B" w:rsidRPr="004F29CE" w:rsidRDefault="0014780B" w:rsidP="000D4D77">
      <w:pPr>
        <w:pStyle w:val="NormalWeb"/>
        <w:rPr>
          <w:rFonts w:asciiTheme="minorHAnsi" w:hAnsiTheme="minorHAnsi"/>
          <w:sz w:val="22"/>
          <w:szCs w:val="22"/>
          <w:lang w:val="en"/>
        </w:rPr>
      </w:pPr>
      <w:r w:rsidRPr="004F29CE">
        <w:rPr>
          <w:rFonts w:asciiTheme="minorHAnsi" w:hAnsiTheme="minorHAnsi"/>
          <w:sz w:val="22"/>
          <w:szCs w:val="22"/>
          <w:lang w:val="en"/>
        </w:rPr>
        <w:t xml:space="preserve">This represents a significant increase in the number of children we work with and have to find appropriate placements for during the year. </w:t>
      </w:r>
    </w:p>
    <w:p w:rsidR="0014780B" w:rsidRDefault="0014780B" w:rsidP="0014780B">
      <w:pPr>
        <w:rPr>
          <w:b/>
          <w:u w:val="single"/>
        </w:rPr>
      </w:pPr>
      <w:r>
        <w:rPr>
          <w:b/>
          <w:u w:val="single"/>
        </w:rPr>
        <w:t>TABLE 1</w:t>
      </w:r>
      <w:r w:rsidRPr="0003730C">
        <w:rPr>
          <w:b/>
          <w:u w:val="single"/>
        </w:rPr>
        <w:t xml:space="preserve"> </w:t>
      </w:r>
    </w:p>
    <w:p w:rsidR="0014780B" w:rsidRPr="0003730C" w:rsidRDefault="0014780B" w:rsidP="0014780B">
      <w:pPr>
        <w:rPr>
          <w:b/>
          <w:u w:val="single"/>
        </w:rPr>
      </w:pPr>
      <w:r>
        <w:rPr>
          <w:b/>
          <w:u w:val="single"/>
        </w:rPr>
        <w:t>H</w:t>
      </w:r>
      <w:r w:rsidRPr="0003730C">
        <w:rPr>
          <w:b/>
          <w:u w:val="single"/>
        </w:rPr>
        <w:t>istori</w:t>
      </w:r>
      <w:r>
        <w:rPr>
          <w:b/>
          <w:u w:val="single"/>
        </w:rPr>
        <w:t xml:space="preserve">cal </w:t>
      </w:r>
      <w:r w:rsidR="00BE5231">
        <w:rPr>
          <w:b/>
          <w:u w:val="single"/>
        </w:rPr>
        <w:t>dat</w:t>
      </w:r>
      <w:r w:rsidR="003360B2">
        <w:rPr>
          <w:b/>
          <w:u w:val="single"/>
        </w:rPr>
        <w:t>a</w:t>
      </w:r>
      <w:r w:rsidR="00BE5231">
        <w:rPr>
          <w:b/>
          <w:u w:val="single"/>
        </w:rPr>
        <w:t xml:space="preserve"> for y</w:t>
      </w:r>
      <w:r>
        <w:rPr>
          <w:b/>
          <w:u w:val="single"/>
        </w:rPr>
        <w:t>ears 2009 to 2013</w:t>
      </w:r>
      <w:r w:rsidRPr="0003730C">
        <w:rPr>
          <w:b/>
          <w:u w:val="single"/>
        </w:rPr>
        <w:t xml:space="preserve"> for Looked After Children </w:t>
      </w:r>
      <w:r>
        <w:rPr>
          <w:b/>
          <w:u w:val="single"/>
        </w:rPr>
        <w:t xml:space="preserve">data </w:t>
      </w:r>
    </w:p>
    <w:p w:rsidR="0014780B" w:rsidRDefault="0014780B" w:rsidP="0014780B">
      <w:r>
        <w:t xml:space="preserve">                            </w:t>
      </w:r>
    </w:p>
    <w:p w:rsidR="0014780B" w:rsidRDefault="0014780B" w:rsidP="0014780B">
      <w:r>
        <w:t xml:space="preserve">  </w:t>
      </w:r>
      <w:r>
        <w:rPr>
          <w:noProof/>
          <w:lang w:eastAsia="en-GB"/>
        </w:rPr>
        <w:drawing>
          <wp:inline distT="0" distB="0" distL="0" distR="0" wp14:anchorId="5C6D206C" wp14:editId="6181A88C">
            <wp:extent cx="7590155" cy="2414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0155" cy="2414270"/>
                    </a:xfrm>
                    <a:prstGeom prst="rect">
                      <a:avLst/>
                    </a:prstGeom>
                    <a:noFill/>
                  </pic:spPr>
                </pic:pic>
              </a:graphicData>
            </a:graphic>
          </wp:inline>
        </w:drawing>
      </w:r>
    </w:p>
    <w:p w:rsidR="0014780B" w:rsidRPr="008E3D4E" w:rsidRDefault="0014780B" w:rsidP="0014780B">
      <w:pPr>
        <w:rPr>
          <w:b/>
          <w:u w:val="single"/>
        </w:rPr>
      </w:pPr>
      <w:r w:rsidRPr="008E3D4E">
        <w:rPr>
          <w:b/>
          <w:u w:val="single"/>
        </w:rPr>
        <w:t xml:space="preserve">Leicester City Council </w:t>
      </w:r>
    </w:p>
    <w:p w:rsidR="0014780B" w:rsidRPr="0043719E" w:rsidRDefault="0014780B" w:rsidP="00272D0E">
      <w:pPr>
        <w:pStyle w:val="ListParagraph"/>
        <w:numPr>
          <w:ilvl w:val="0"/>
          <w:numId w:val="4"/>
        </w:numPr>
        <w:ind w:left="360"/>
      </w:pPr>
      <w:r w:rsidRPr="0043719E">
        <w:lastRenderedPageBreak/>
        <w:t>There was an overall increase of 8% in the number of children admitted into Leicester City care over a 5 year period from 2009 to 2013.</w:t>
      </w:r>
    </w:p>
    <w:p w:rsidR="0014780B" w:rsidRPr="0043719E" w:rsidRDefault="0014780B" w:rsidP="0014780B">
      <w:pPr>
        <w:pStyle w:val="ListParagraph"/>
        <w:ind w:left="1440"/>
      </w:pPr>
    </w:p>
    <w:p w:rsidR="0014780B" w:rsidRPr="0043719E" w:rsidRDefault="0014780B" w:rsidP="00272D0E">
      <w:pPr>
        <w:pStyle w:val="ListParagraph"/>
        <w:numPr>
          <w:ilvl w:val="0"/>
          <w:numId w:val="4"/>
        </w:numPr>
        <w:ind w:left="360"/>
      </w:pPr>
      <w:r w:rsidRPr="0043719E">
        <w:t xml:space="preserve">There has been a 4% decrease however from 2012 to 2013. </w:t>
      </w:r>
    </w:p>
    <w:p w:rsidR="0014780B" w:rsidRPr="0043719E" w:rsidRDefault="0014780B" w:rsidP="0014780B">
      <w:pPr>
        <w:pStyle w:val="ListParagraph"/>
      </w:pPr>
    </w:p>
    <w:p w:rsidR="0014780B" w:rsidRDefault="0014780B" w:rsidP="00272D0E">
      <w:pPr>
        <w:pStyle w:val="ListParagraph"/>
        <w:numPr>
          <w:ilvl w:val="0"/>
          <w:numId w:val="4"/>
        </w:numPr>
        <w:ind w:left="360"/>
      </w:pPr>
      <w:r w:rsidRPr="0043719E">
        <w:t>The lowest number entering Leicester City care was in 2011 (180 children entered the care system).</w:t>
      </w:r>
    </w:p>
    <w:p w:rsidR="0014780B" w:rsidRDefault="0014780B" w:rsidP="0014780B">
      <w:pPr>
        <w:pStyle w:val="ListParagraph"/>
      </w:pPr>
    </w:p>
    <w:p w:rsidR="00900251" w:rsidRDefault="00900251" w:rsidP="0014780B">
      <w:pPr>
        <w:pStyle w:val="ListParagraph"/>
        <w:ind w:left="0"/>
      </w:pPr>
    </w:p>
    <w:p w:rsidR="0014780B" w:rsidRPr="004F29CE" w:rsidRDefault="0014780B" w:rsidP="0014780B">
      <w:pPr>
        <w:pStyle w:val="ListParagraph"/>
        <w:ind w:left="0"/>
        <w:rPr>
          <w:b/>
          <w:u w:val="single"/>
        </w:rPr>
      </w:pPr>
      <w:r w:rsidRPr="004F29CE">
        <w:rPr>
          <w:b/>
          <w:u w:val="single"/>
        </w:rPr>
        <w:t>Table 2</w:t>
      </w:r>
    </w:p>
    <w:p w:rsidR="0014780B" w:rsidRPr="007F5BA2" w:rsidRDefault="0014780B" w:rsidP="0014780B">
      <w:pPr>
        <w:rPr>
          <w:b/>
          <w:bCs/>
          <w:u w:val="single"/>
        </w:rPr>
      </w:pPr>
      <w:r w:rsidRPr="007F5BA2">
        <w:rPr>
          <w:b/>
          <w:bCs/>
          <w:u w:val="single"/>
        </w:rPr>
        <w:t>LAC numbers by legal status 1/08/2012 to 01/08/2013</w:t>
      </w:r>
    </w:p>
    <w:p w:rsidR="0014780B" w:rsidRDefault="0014780B" w:rsidP="0014780B">
      <w:r>
        <w:fldChar w:fldCharType="begin"/>
      </w:r>
      <w:r>
        <w:instrText xml:space="preserve"> LINK Excel.Sheet.12 "C:\\Users\\whitl010\\AppData\\Local\\Microsoft\\Windows\\Temporary Internet Files\\Content.Outlook\\OXIKFAU6\\LAC numbers 01-08-2012 - 01-08-2013.xlsx" "Sheet1!R3C1:R16C11" \a \f 5 \h  \* MERGEFORMAT </w:instrText>
      </w:r>
      <w:r>
        <w:fldChar w:fldCharType="separate"/>
      </w:r>
    </w:p>
    <w:tbl>
      <w:tblPr>
        <w:tblStyle w:val="TableGrid"/>
        <w:tblW w:w="15020" w:type="dxa"/>
        <w:tblLook w:val="04A0" w:firstRow="1" w:lastRow="0" w:firstColumn="1" w:lastColumn="0" w:noHBand="0" w:noVBand="1"/>
      </w:tblPr>
      <w:tblGrid>
        <w:gridCol w:w="2460"/>
        <w:gridCol w:w="1300"/>
        <w:gridCol w:w="940"/>
        <w:gridCol w:w="1220"/>
        <w:gridCol w:w="1060"/>
        <w:gridCol w:w="960"/>
        <w:gridCol w:w="1400"/>
        <w:gridCol w:w="1120"/>
        <w:gridCol w:w="1260"/>
        <w:gridCol w:w="960"/>
        <w:gridCol w:w="2340"/>
      </w:tblGrid>
      <w:tr w:rsidR="0014780B" w:rsidRPr="00BD27E0" w:rsidTr="00327AAA">
        <w:trPr>
          <w:trHeight w:val="915"/>
        </w:trPr>
        <w:tc>
          <w:tcPr>
            <w:tcW w:w="2460" w:type="dxa"/>
            <w:hideMark/>
          </w:tcPr>
          <w:p w:rsidR="0014780B" w:rsidRPr="00BD27E0" w:rsidRDefault="0014780B" w:rsidP="00327AAA">
            <w:pPr>
              <w:rPr>
                <w:b/>
                <w:bCs/>
              </w:rPr>
            </w:pPr>
            <w:r w:rsidRPr="00BD27E0">
              <w:rPr>
                <w:b/>
                <w:bCs/>
              </w:rPr>
              <w:t xml:space="preserve">MONTH </w:t>
            </w:r>
          </w:p>
        </w:tc>
        <w:tc>
          <w:tcPr>
            <w:tcW w:w="1300" w:type="dxa"/>
            <w:hideMark/>
          </w:tcPr>
          <w:p w:rsidR="0014780B" w:rsidRPr="00BD27E0" w:rsidRDefault="0014780B" w:rsidP="00327AAA">
            <w:pPr>
              <w:rPr>
                <w:b/>
                <w:bCs/>
              </w:rPr>
            </w:pPr>
            <w:r w:rsidRPr="00BD27E0">
              <w:rPr>
                <w:b/>
                <w:bCs/>
              </w:rPr>
              <w:t xml:space="preserve">Interim Care Order </w:t>
            </w:r>
          </w:p>
        </w:tc>
        <w:tc>
          <w:tcPr>
            <w:tcW w:w="940" w:type="dxa"/>
            <w:hideMark/>
          </w:tcPr>
          <w:p w:rsidR="0014780B" w:rsidRPr="00BD27E0" w:rsidRDefault="0014780B" w:rsidP="00327AAA">
            <w:pPr>
              <w:rPr>
                <w:b/>
                <w:bCs/>
              </w:rPr>
            </w:pPr>
            <w:r w:rsidRPr="00BD27E0">
              <w:rPr>
                <w:b/>
                <w:bCs/>
              </w:rPr>
              <w:t xml:space="preserve">Full Care Order </w:t>
            </w:r>
          </w:p>
        </w:tc>
        <w:tc>
          <w:tcPr>
            <w:tcW w:w="1220" w:type="dxa"/>
            <w:hideMark/>
          </w:tcPr>
          <w:p w:rsidR="0014780B" w:rsidRPr="00BD27E0" w:rsidRDefault="0014780B" w:rsidP="00327AAA">
            <w:pPr>
              <w:rPr>
                <w:b/>
                <w:bCs/>
              </w:rPr>
            </w:pPr>
            <w:r w:rsidRPr="00BD27E0">
              <w:rPr>
                <w:b/>
                <w:bCs/>
              </w:rPr>
              <w:t xml:space="preserve">Placement Order </w:t>
            </w:r>
          </w:p>
        </w:tc>
        <w:tc>
          <w:tcPr>
            <w:tcW w:w="1060" w:type="dxa"/>
            <w:hideMark/>
          </w:tcPr>
          <w:p w:rsidR="0014780B" w:rsidRPr="00BD27E0" w:rsidRDefault="0014780B" w:rsidP="00327AAA">
            <w:pPr>
              <w:rPr>
                <w:b/>
                <w:bCs/>
              </w:rPr>
            </w:pPr>
            <w:r w:rsidRPr="00BD27E0">
              <w:rPr>
                <w:b/>
                <w:bCs/>
              </w:rPr>
              <w:t>PPO</w:t>
            </w:r>
          </w:p>
        </w:tc>
        <w:tc>
          <w:tcPr>
            <w:tcW w:w="960" w:type="dxa"/>
            <w:hideMark/>
          </w:tcPr>
          <w:p w:rsidR="0014780B" w:rsidRPr="00BD27E0" w:rsidRDefault="0014780B" w:rsidP="00327AAA">
            <w:pPr>
              <w:rPr>
                <w:b/>
                <w:bCs/>
              </w:rPr>
            </w:pPr>
            <w:r w:rsidRPr="00BD27E0">
              <w:rPr>
                <w:b/>
                <w:bCs/>
              </w:rPr>
              <w:t>EPO</w:t>
            </w:r>
          </w:p>
        </w:tc>
        <w:tc>
          <w:tcPr>
            <w:tcW w:w="1400" w:type="dxa"/>
            <w:hideMark/>
          </w:tcPr>
          <w:p w:rsidR="0014780B" w:rsidRPr="00BD27E0" w:rsidRDefault="0014780B" w:rsidP="00327AAA">
            <w:pPr>
              <w:rPr>
                <w:b/>
                <w:bCs/>
              </w:rPr>
            </w:pPr>
            <w:r w:rsidRPr="00BD27E0">
              <w:rPr>
                <w:b/>
                <w:bCs/>
              </w:rPr>
              <w:t xml:space="preserve">Child assessment order </w:t>
            </w:r>
          </w:p>
        </w:tc>
        <w:tc>
          <w:tcPr>
            <w:tcW w:w="1120" w:type="dxa"/>
            <w:hideMark/>
          </w:tcPr>
          <w:p w:rsidR="0014780B" w:rsidRPr="00BD27E0" w:rsidRDefault="0014780B" w:rsidP="00327AAA">
            <w:pPr>
              <w:rPr>
                <w:b/>
                <w:bCs/>
              </w:rPr>
            </w:pPr>
            <w:r w:rsidRPr="00BD27E0">
              <w:rPr>
                <w:b/>
                <w:bCs/>
              </w:rPr>
              <w:t xml:space="preserve">Remand to Care </w:t>
            </w:r>
          </w:p>
        </w:tc>
        <w:tc>
          <w:tcPr>
            <w:tcW w:w="1260" w:type="dxa"/>
            <w:hideMark/>
          </w:tcPr>
          <w:p w:rsidR="0014780B" w:rsidRPr="00BD27E0" w:rsidRDefault="0014780B" w:rsidP="00327AAA">
            <w:pPr>
              <w:rPr>
                <w:b/>
                <w:bCs/>
              </w:rPr>
            </w:pPr>
            <w:r w:rsidRPr="00BD27E0">
              <w:rPr>
                <w:b/>
                <w:bCs/>
              </w:rPr>
              <w:t xml:space="preserve">Section 20 </w:t>
            </w:r>
          </w:p>
        </w:tc>
        <w:tc>
          <w:tcPr>
            <w:tcW w:w="960" w:type="dxa"/>
            <w:hideMark/>
          </w:tcPr>
          <w:p w:rsidR="0014780B" w:rsidRPr="00BD27E0" w:rsidRDefault="0014780B" w:rsidP="00327AAA">
            <w:pPr>
              <w:rPr>
                <w:b/>
                <w:bCs/>
              </w:rPr>
            </w:pPr>
            <w:r w:rsidRPr="00BD27E0">
              <w:rPr>
                <w:b/>
                <w:bCs/>
              </w:rPr>
              <w:t xml:space="preserve">TOTAL </w:t>
            </w:r>
          </w:p>
        </w:tc>
        <w:tc>
          <w:tcPr>
            <w:tcW w:w="2340" w:type="dxa"/>
            <w:hideMark/>
          </w:tcPr>
          <w:p w:rsidR="0014780B" w:rsidRPr="00BD27E0" w:rsidRDefault="0014780B" w:rsidP="00327AAA">
            <w:pPr>
              <w:rPr>
                <w:b/>
                <w:bCs/>
              </w:rPr>
            </w:pPr>
            <w:r w:rsidRPr="00BD27E0">
              <w:rPr>
                <w:b/>
                <w:bCs/>
              </w:rPr>
              <w:t>Section 20 Admissions</w:t>
            </w:r>
          </w:p>
        </w:tc>
      </w:tr>
      <w:tr w:rsidR="0014780B" w:rsidRPr="00BD27E0" w:rsidTr="00327AAA">
        <w:trPr>
          <w:trHeight w:val="300"/>
        </w:trPr>
        <w:tc>
          <w:tcPr>
            <w:tcW w:w="2460" w:type="dxa"/>
            <w:noWrap/>
            <w:hideMark/>
          </w:tcPr>
          <w:p w:rsidR="0014780B" w:rsidRPr="00BD27E0" w:rsidRDefault="0014780B" w:rsidP="00327AAA">
            <w:r w:rsidRPr="00BD27E0">
              <w:t>Aug-12</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11</w:t>
            </w:r>
          </w:p>
        </w:tc>
      </w:tr>
      <w:tr w:rsidR="0014780B" w:rsidRPr="00BD27E0" w:rsidTr="00327AAA">
        <w:trPr>
          <w:trHeight w:val="300"/>
        </w:trPr>
        <w:tc>
          <w:tcPr>
            <w:tcW w:w="2460" w:type="dxa"/>
            <w:noWrap/>
            <w:hideMark/>
          </w:tcPr>
          <w:p w:rsidR="0014780B" w:rsidRPr="00BD27E0" w:rsidRDefault="0014780B" w:rsidP="00327AAA">
            <w:r w:rsidRPr="00BD27E0">
              <w:t>Sep-12</w:t>
            </w:r>
          </w:p>
        </w:tc>
        <w:tc>
          <w:tcPr>
            <w:tcW w:w="1300" w:type="dxa"/>
            <w:noWrap/>
            <w:hideMark/>
          </w:tcPr>
          <w:p w:rsidR="0014780B" w:rsidRPr="00BD27E0" w:rsidRDefault="0014780B" w:rsidP="00327AAA">
            <w:r w:rsidRPr="00BD27E0">
              <w:t>140</w:t>
            </w:r>
          </w:p>
        </w:tc>
        <w:tc>
          <w:tcPr>
            <w:tcW w:w="940" w:type="dxa"/>
            <w:noWrap/>
            <w:hideMark/>
          </w:tcPr>
          <w:p w:rsidR="0014780B" w:rsidRPr="00BD27E0" w:rsidRDefault="0014780B" w:rsidP="00327AAA">
            <w:r w:rsidRPr="00BD27E0">
              <w:t>233</w:t>
            </w:r>
          </w:p>
        </w:tc>
        <w:tc>
          <w:tcPr>
            <w:tcW w:w="1220" w:type="dxa"/>
            <w:noWrap/>
            <w:hideMark/>
          </w:tcPr>
          <w:p w:rsidR="0014780B" w:rsidRPr="00BD27E0" w:rsidRDefault="0014780B" w:rsidP="00327AAA">
            <w:r w:rsidRPr="00BD27E0">
              <w:t>57</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2</w:t>
            </w:r>
          </w:p>
        </w:tc>
        <w:tc>
          <w:tcPr>
            <w:tcW w:w="1260" w:type="dxa"/>
            <w:noWrap/>
            <w:hideMark/>
          </w:tcPr>
          <w:p w:rsidR="0014780B" w:rsidRPr="00BD27E0" w:rsidRDefault="0014780B" w:rsidP="00327AAA">
            <w:r w:rsidRPr="00BD27E0">
              <w:t>106</w:t>
            </w:r>
          </w:p>
        </w:tc>
        <w:tc>
          <w:tcPr>
            <w:tcW w:w="960" w:type="dxa"/>
            <w:noWrap/>
            <w:hideMark/>
          </w:tcPr>
          <w:p w:rsidR="0014780B" w:rsidRPr="00BD27E0" w:rsidRDefault="0014780B" w:rsidP="00327AAA">
            <w:pPr>
              <w:rPr>
                <w:b/>
                <w:bCs/>
              </w:rPr>
            </w:pPr>
            <w:r w:rsidRPr="00BD27E0">
              <w:rPr>
                <w:b/>
                <w:bCs/>
              </w:rPr>
              <w:t>538</w:t>
            </w:r>
          </w:p>
        </w:tc>
        <w:tc>
          <w:tcPr>
            <w:tcW w:w="2340" w:type="dxa"/>
            <w:noWrap/>
            <w:hideMark/>
          </w:tcPr>
          <w:p w:rsidR="0014780B" w:rsidRPr="00BD27E0" w:rsidRDefault="0014780B" w:rsidP="00327AAA">
            <w:r w:rsidRPr="00BD27E0">
              <w:t>3</w:t>
            </w:r>
          </w:p>
        </w:tc>
      </w:tr>
      <w:tr w:rsidR="0014780B" w:rsidRPr="00BD27E0" w:rsidTr="00327AAA">
        <w:trPr>
          <w:trHeight w:val="300"/>
        </w:trPr>
        <w:tc>
          <w:tcPr>
            <w:tcW w:w="2460" w:type="dxa"/>
            <w:noWrap/>
            <w:hideMark/>
          </w:tcPr>
          <w:p w:rsidR="0014780B" w:rsidRPr="00BD27E0" w:rsidRDefault="0014780B" w:rsidP="00327AAA">
            <w:r w:rsidRPr="00BD27E0">
              <w:t>Oct-12</w:t>
            </w:r>
          </w:p>
        </w:tc>
        <w:tc>
          <w:tcPr>
            <w:tcW w:w="1300" w:type="dxa"/>
            <w:noWrap/>
            <w:hideMark/>
          </w:tcPr>
          <w:p w:rsidR="0014780B" w:rsidRPr="00BD27E0" w:rsidRDefault="0014780B" w:rsidP="00327AAA">
            <w:r w:rsidRPr="00BD27E0">
              <w:t>144</w:t>
            </w:r>
          </w:p>
        </w:tc>
        <w:tc>
          <w:tcPr>
            <w:tcW w:w="940" w:type="dxa"/>
            <w:noWrap/>
            <w:hideMark/>
          </w:tcPr>
          <w:p w:rsidR="0014780B" w:rsidRPr="00BD27E0" w:rsidRDefault="0014780B" w:rsidP="00327AAA">
            <w:r w:rsidRPr="00BD27E0">
              <w:t>228</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100</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Nov-12</w:t>
            </w:r>
          </w:p>
        </w:tc>
        <w:tc>
          <w:tcPr>
            <w:tcW w:w="1300" w:type="dxa"/>
            <w:noWrap/>
            <w:hideMark/>
          </w:tcPr>
          <w:p w:rsidR="0014780B" w:rsidRPr="00BD27E0" w:rsidRDefault="0014780B" w:rsidP="00327AAA">
            <w:r w:rsidRPr="00BD27E0">
              <w:t>146</w:t>
            </w:r>
          </w:p>
        </w:tc>
        <w:tc>
          <w:tcPr>
            <w:tcW w:w="940" w:type="dxa"/>
            <w:noWrap/>
            <w:hideMark/>
          </w:tcPr>
          <w:p w:rsidR="0014780B" w:rsidRPr="00BD27E0" w:rsidRDefault="0014780B" w:rsidP="00327AAA">
            <w:r w:rsidRPr="00BD27E0">
              <w:t>234</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534</w:t>
            </w:r>
          </w:p>
        </w:tc>
        <w:tc>
          <w:tcPr>
            <w:tcW w:w="2340" w:type="dxa"/>
            <w:noWrap/>
            <w:hideMark/>
          </w:tcPr>
          <w:p w:rsidR="0014780B" w:rsidRPr="00BD27E0" w:rsidRDefault="0014780B" w:rsidP="00327AAA">
            <w:r w:rsidRPr="00BD27E0">
              <w:t>5</w:t>
            </w:r>
          </w:p>
        </w:tc>
      </w:tr>
      <w:tr w:rsidR="0014780B" w:rsidRPr="00BD27E0" w:rsidTr="00327AAA">
        <w:trPr>
          <w:trHeight w:val="300"/>
        </w:trPr>
        <w:tc>
          <w:tcPr>
            <w:tcW w:w="2460" w:type="dxa"/>
            <w:noWrap/>
            <w:hideMark/>
          </w:tcPr>
          <w:p w:rsidR="0014780B" w:rsidRPr="00BD27E0" w:rsidRDefault="0014780B" w:rsidP="00327AAA">
            <w:r w:rsidRPr="00BD27E0">
              <w:t>Dec-12</w:t>
            </w:r>
          </w:p>
        </w:tc>
        <w:tc>
          <w:tcPr>
            <w:tcW w:w="1300" w:type="dxa"/>
            <w:noWrap/>
            <w:hideMark/>
          </w:tcPr>
          <w:p w:rsidR="0014780B" w:rsidRPr="00BD27E0" w:rsidRDefault="0014780B" w:rsidP="00327AAA">
            <w:r w:rsidRPr="00BD27E0">
              <w:t>136</w:t>
            </w:r>
          </w:p>
        </w:tc>
        <w:tc>
          <w:tcPr>
            <w:tcW w:w="940" w:type="dxa"/>
            <w:noWrap/>
            <w:hideMark/>
          </w:tcPr>
          <w:p w:rsidR="0014780B" w:rsidRPr="00BD27E0" w:rsidRDefault="0014780B" w:rsidP="00327AAA">
            <w:r w:rsidRPr="00BD27E0">
              <w:t>239</w:t>
            </w:r>
          </w:p>
        </w:tc>
        <w:tc>
          <w:tcPr>
            <w:tcW w:w="1220" w:type="dxa"/>
            <w:noWrap/>
            <w:hideMark/>
          </w:tcPr>
          <w:p w:rsidR="0014780B" w:rsidRPr="00BD27E0" w:rsidRDefault="0014780B" w:rsidP="00327AAA">
            <w:r w:rsidRPr="00BD27E0">
              <w:t>58</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4</w:t>
            </w:r>
          </w:p>
        </w:tc>
      </w:tr>
      <w:tr w:rsidR="0014780B" w:rsidRPr="00BD27E0" w:rsidTr="00327AAA">
        <w:trPr>
          <w:trHeight w:val="300"/>
        </w:trPr>
        <w:tc>
          <w:tcPr>
            <w:tcW w:w="2460" w:type="dxa"/>
            <w:noWrap/>
            <w:hideMark/>
          </w:tcPr>
          <w:p w:rsidR="0014780B" w:rsidRPr="00BD27E0" w:rsidRDefault="0014780B" w:rsidP="00327AAA">
            <w:r w:rsidRPr="00BD27E0">
              <w:t>Jan-13</w:t>
            </w:r>
          </w:p>
        </w:tc>
        <w:tc>
          <w:tcPr>
            <w:tcW w:w="1300" w:type="dxa"/>
            <w:noWrap/>
            <w:hideMark/>
          </w:tcPr>
          <w:p w:rsidR="0014780B" w:rsidRPr="00BD27E0" w:rsidRDefault="0014780B" w:rsidP="00327AAA">
            <w:r w:rsidRPr="00BD27E0">
              <w:t>120</w:t>
            </w:r>
          </w:p>
        </w:tc>
        <w:tc>
          <w:tcPr>
            <w:tcW w:w="940" w:type="dxa"/>
            <w:noWrap/>
            <w:hideMark/>
          </w:tcPr>
          <w:p w:rsidR="0014780B" w:rsidRPr="00BD27E0" w:rsidRDefault="0014780B" w:rsidP="00327AAA">
            <w:r w:rsidRPr="00BD27E0">
              <w:t>256</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84</w:t>
            </w:r>
          </w:p>
        </w:tc>
        <w:tc>
          <w:tcPr>
            <w:tcW w:w="960" w:type="dxa"/>
            <w:noWrap/>
            <w:hideMark/>
          </w:tcPr>
          <w:p w:rsidR="0014780B" w:rsidRPr="00BD27E0" w:rsidRDefault="0014780B" w:rsidP="00327AAA">
            <w:pPr>
              <w:rPr>
                <w:b/>
                <w:bCs/>
              </w:rPr>
            </w:pPr>
            <w:r w:rsidRPr="00BD27E0">
              <w:rPr>
                <w:b/>
                <w:bCs/>
              </w:rPr>
              <w:t>519</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Feb-13</w:t>
            </w:r>
          </w:p>
        </w:tc>
        <w:tc>
          <w:tcPr>
            <w:tcW w:w="1300" w:type="dxa"/>
            <w:noWrap/>
            <w:hideMark/>
          </w:tcPr>
          <w:p w:rsidR="0014780B" w:rsidRPr="00BD27E0" w:rsidRDefault="0014780B" w:rsidP="00327AAA">
            <w:r w:rsidRPr="00BD27E0">
              <w:t>107</w:t>
            </w:r>
          </w:p>
        </w:tc>
        <w:tc>
          <w:tcPr>
            <w:tcW w:w="940" w:type="dxa"/>
            <w:noWrap/>
            <w:hideMark/>
          </w:tcPr>
          <w:p w:rsidR="0014780B" w:rsidRPr="00BD27E0" w:rsidRDefault="0014780B" w:rsidP="00327AAA">
            <w:r w:rsidRPr="00BD27E0">
              <w:t>262</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7</w:t>
            </w:r>
          </w:p>
        </w:tc>
        <w:tc>
          <w:tcPr>
            <w:tcW w:w="1260" w:type="dxa"/>
            <w:noWrap/>
            <w:hideMark/>
          </w:tcPr>
          <w:p w:rsidR="0014780B" w:rsidRPr="00BD27E0" w:rsidRDefault="0014780B" w:rsidP="00327AAA">
            <w:r w:rsidRPr="00BD27E0">
              <w:t>85</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Mar-13</w:t>
            </w:r>
          </w:p>
        </w:tc>
        <w:tc>
          <w:tcPr>
            <w:tcW w:w="1300" w:type="dxa"/>
            <w:noWrap/>
            <w:hideMark/>
          </w:tcPr>
          <w:p w:rsidR="0014780B" w:rsidRPr="00BD27E0" w:rsidRDefault="0014780B" w:rsidP="00327AAA">
            <w:r w:rsidRPr="00BD27E0">
              <w:t>105</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6</w:t>
            </w:r>
          </w:p>
        </w:tc>
        <w:tc>
          <w:tcPr>
            <w:tcW w:w="1260" w:type="dxa"/>
            <w:noWrap/>
            <w:hideMark/>
          </w:tcPr>
          <w:p w:rsidR="0014780B" w:rsidRPr="00BD27E0" w:rsidRDefault="0014780B" w:rsidP="00327AAA">
            <w:r w:rsidRPr="00BD27E0">
              <w:t>87</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10</w:t>
            </w:r>
          </w:p>
        </w:tc>
      </w:tr>
      <w:tr w:rsidR="0014780B" w:rsidRPr="00BD27E0" w:rsidTr="00327AAA">
        <w:trPr>
          <w:trHeight w:val="300"/>
        </w:trPr>
        <w:tc>
          <w:tcPr>
            <w:tcW w:w="2460" w:type="dxa"/>
            <w:noWrap/>
            <w:hideMark/>
          </w:tcPr>
          <w:p w:rsidR="0014780B" w:rsidRPr="00BD27E0" w:rsidRDefault="0014780B" w:rsidP="00327AAA">
            <w:r w:rsidRPr="00BD27E0">
              <w:lastRenderedPageBreak/>
              <w:t>Apr-13</w:t>
            </w:r>
          </w:p>
        </w:tc>
        <w:tc>
          <w:tcPr>
            <w:tcW w:w="1300" w:type="dxa"/>
            <w:noWrap/>
            <w:hideMark/>
          </w:tcPr>
          <w:p w:rsidR="0014780B" w:rsidRPr="00BD27E0" w:rsidRDefault="0014780B" w:rsidP="00327AAA">
            <w:r w:rsidRPr="00BD27E0">
              <w:t>102</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60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4</w:t>
            </w:r>
          </w:p>
        </w:tc>
        <w:tc>
          <w:tcPr>
            <w:tcW w:w="1260" w:type="dxa"/>
            <w:noWrap/>
            <w:hideMark/>
          </w:tcPr>
          <w:p w:rsidR="0014780B" w:rsidRPr="00BD27E0" w:rsidRDefault="0014780B" w:rsidP="00327AAA">
            <w:r w:rsidRPr="00BD27E0">
              <w:t>91</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17</w:t>
            </w:r>
          </w:p>
        </w:tc>
      </w:tr>
      <w:tr w:rsidR="0014780B" w:rsidRPr="00BD27E0" w:rsidTr="00327AAA">
        <w:trPr>
          <w:trHeight w:val="300"/>
        </w:trPr>
        <w:tc>
          <w:tcPr>
            <w:tcW w:w="2460" w:type="dxa"/>
            <w:noWrap/>
            <w:hideMark/>
          </w:tcPr>
          <w:p w:rsidR="0014780B" w:rsidRPr="00BD27E0" w:rsidRDefault="0014780B" w:rsidP="00327AAA">
            <w:r w:rsidRPr="00BD27E0">
              <w:t>May-13</w:t>
            </w:r>
          </w:p>
        </w:tc>
        <w:tc>
          <w:tcPr>
            <w:tcW w:w="1300" w:type="dxa"/>
            <w:noWrap/>
            <w:hideMark/>
          </w:tcPr>
          <w:p w:rsidR="0014780B" w:rsidRPr="00BD27E0" w:rsidRDefault="0014780B" w:rsidP="00327AAA">
            <w:r w:rsidRPr="00BD27E0">
              <w:t>97</w:t>
            </w:r>
          </w:p>
        </w:tc>
        <w:tc>
          <w:tcPr>
            <w:tcW w:w="940" w:type="dxa"/>
            <w:noWrap/>
            <w:hideMark/>
          </w:tcPr>
          <w:p w:rsidR="0014780B" w:rsidRPr="00BD27E0" w:rsidRDefault="0014780B" w:rsidP="00327AAA">
            <w:r w:rsidRPr="00BD27E0">
              <w:t>267</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96</w:t>
            </w:r>
          </w:p>
        </w:tc>
        <w:tc>
          <w:tcPr>
            <w:tcW w:w="960" w:type="dxa"/>
            <w:noWrap/>
            <w:hideMark/>
          </w:tcPr>
          <w:p w:rsidR="0014780B" w:rsidRPr="00BD27E0" w:rsidRDefault="0014780B" w:rsidP="00327AAA">
            <w:pPr>
              <w:rPr>
                <w:b/>
                <w:bCs/>
              </w:rPr>
            </w:pPr>
            <w:r w:rsidRPr="00BD27E0">
              <w:rPr>
                <w:b/>
                <w:bCs/>
              </w:rPr>
              <w:t>522</w:t>
            </w:r>
          </w:p>
        </w:tc>
        <w:tc>
          <w:tcPr>
            <w:tcW w:w="2340" w:type="dxa"/>
            <w:noWrap/>
            <w:hideMark/>
          </w:tcPr>
          <w:p w:rsidR="0014780B" w:rsidRPr="00BD27E0" w:rsidRDefault="0014780B" w:rsidP="00327AAA">
            <w:r w:rsidRPr="00BD27E0">
              <w:t>13</w:t>
            </w:r>
          </w:p>
        </w:tc>
      </w:tr>
      <w:tr w:rsidR="0014780B" w:rsidRPr="00BD27E0" w:rsidTr="00327AAA">
        <w:trPr>
          <w:trHeight w:val="300"/>
        </w:trPr>
        <w:tc>
          <w:tcPr>
            <w:tcW w:w="2460" w:type="dxa"/>
            <w:noWrap/>
            <w:hideMark/>
          </w:tcPr>
          <w:p w:rsidR="0014780B" w:rsidRPr="00BD27E0" w:rsidRDefault="0014780B" w:rsidP="00327AAA">
            <w:r w:rsidRPr="00BD27E0">
              <w:t>Jun-13</w:t>
            </w:r>
          </w:p>
        </w:tc>
        <w:tc>
          <w:tcPr>
            <w:tcW w:w="1300" w:type="dxa"/>
            <w:noWrap/>
            <w:hideMark/>
          </w:tcPr>
          <w:p w:rsidR="0014780B" w:rsidRPr="00BD27E0" w:rsidRDefault="0014780B" w:rsidP="00327AAA">
            <w:r w:rsidRPr="00BD27E0">
              <w:t>90</w:t>
            </w:r>
          </w:p>
        </w:tc>
        <w:tc>
          <w:tcPr>
            <w:tcW w:w="940" w:type="dxa"/>
            <w:noWrap/>
            <w:hideMark/>
          </w:tcPr>
          <w:p w:rsidR="0014780B" w:rsidRPr="00BD27E0" w:rsidRDefault="0014780B" w:rsidP="00327AAA">
            <w:r w:rsidRPr="00BD27E0">
              <w:t>274</w:t>
            </w:r>
          </w:p>
        </w:tc>
        <w:tc>
          <w:tcPr>
            <w:tcW w:w="1220" w:type="dxa"/>
            <w:noWrap/>
            <w:hideMark/>
          </w:tcPr>
          <w:p w:rsidR="0014780B" w:rsidRPr="00BD27E0" w:rsidRDefault="0014780B" w:rsidP="00327AAA">
            <w:r w:rsidRPr="00BD27E0">
              <w:t>61</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2</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98</w:t>
            </w:r>
          </w:p>
        </w:tc>
        <w:tc>
          <w:tcPr>
            <w:tcW w:w="960" w:type="dxa"/>
            <w:noWrap/>
            <w:hideMark/>
          </w:tcPr>
          <w:p w:rsidR="0014780B" w:rsidRPr="00BD27E0" w:rsidRDefault="0014780B" w:rsidP="00327AAA">
            <w:pPr>
              <w:rPr>
                <w:b/>
                <w:bCs/>
              </w:rPr>
            </w:pPr>
            <w:r w:rsidRPr="00BD27E0">
              <w:rPr>
                <w:b/>
                <w:bCs/>
              </w:rPr>
              <w:t>528</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Jul-13</w:t>
            </w:r>
          </w:p>
        </w:tc>
        <w:tc>
          <w:tcPr>
            <w:tcW w:w="1300" w:type="dxa"/>
            <w:noWrap/>
            <w:hideMark/>
          </w:tcPr>
          <w:p w:rsidR="0014780B" w:rsidRPr="00BD27E0" w:rsidRDefault="0014780B" w:rsidP="00327AAA">
            <w:r w:rsidRPr="00BD27E0">
              <w:t>81</w:t>
            </w:r>
          </w:p>
        </w:tc>
        <w:tc>
          <w:tcPr>
            <w:tcW w:w="940" w:type="dxa"/>
            <w:noWrap/>
            <w:hideMark/>
          </w:tcPr>
          <w:p w:rsidR="0014780B" w:rsidRPr="00BD27E0" w:rsidRDefault="0014780B" w:rsidP="00327AAA">
            <w:r w:rsidRPr="00BD27E0">
              <w:t>271</w:t>
            </w:r>
          </w:p>
        </w:tc>
        <w:tc>
          <w:tcPr>
            <w:tcW w:w="1220" w:type="dxa"/>
            <w:noWrap/>
            <w:hideMark/>
          </w:tcPr>
          <w:p w:rsidR="0014780B" w:rsidRPr="00BD27E0" w:rsidRDefault="0014780B" w:rsidP="00327AAA">
            <w:r w:rsidRPr="00BD27E0">
              <w:t>69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1</w:t>
            </w:r>
          </w:p>
        </w:tc>
        <w:tc>
          <w:tcPr>
            <w:tcW w:w="1260" w:type="dxa"/>
            <w:noWrap/>
            <w:hideMark/>
          </w:tcPr>
          <w:p w:rsidR="0014780B" w:rsidRPr="00BD27E0" w:rsidRDefault="0014780B" w:rsidP="00327AAA">
            <w:r w:rsidRPr="00BD27E0">
              <w:t>99</w:t>
            </w:r>
          </w:p>
        </w:tc>
        <w:tc>
          <w:tcPr>
            <w:tcW w:w="960" w:type="dxa"/>
            <w:noWrap/>
            <w:hideMark/>
          </w:tcPr>
          <w:p w:rsidR="0014780B" w:rsidRPr="00BD27E0" w:rsidRDefault="0014780B" w:rsidP="00327AAA">
            <w:pPr>
              <w:rPr>
                <w:b/>
                <w:bCs/>
              </w:rPr>
            </w:pPr>
            <w:r w:rsidRPr="00BD27E0">
              <w:rPr>
                <w:b/>
                <w:bCs/>
              </w:rPr>
              <w:t>521</w:t>
            </w:r>
          </w:p>
        </w:tc>
        <w:tc>
          <w:tcPr>
            <w:tcW w:w="2340" w:type="dxa"/>
            <w:noWrap/>
            <w:hideMark/>
          </w:tcPr>
          <w:p w:rsidR="0014780B" w:rsidRPr="00BD27E0" w:rsidRDefault="0014780B" w:rsidP="00327AAA">
            <w:r w:rsidRPr="00BD27E0">
              <w:t>16</w:t>
            </w:r>
          </w:p>
        </w:tc>
      </w:tr>
      <w:tr w:rsidR="0014780B" w:rsidRPr="00BD27E0" w:rsidTr="00327AAA">
        <w:trPr>
          <w:trHeight w:val="315"/>
        </w:trPr>
        <w:tc>
          <w:tcPr>
            <w:tcW w:w="2460" w:type="dxa"/>
            <w:noWrap/>
            <w:hideMark/>
          </w:tcPr>
          <w:p w:rsidR="0014780B" w:rsidRPr="00BD27E0" w:rsidRDefault="0014780B" w:rsidP="00327AAA">
            <w:r w:rsidRPr="00BD27E0">
              <w:t>Aug-13</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w:t>
            </w:r>
          </w:p>
        </w:tc>
      </w:tr>
    </w:tbl>
    <w:p w:rsidR="0014780B" w:rsidRDefault="0014780B" w:rsidP="0014780B">
      <w:r>
        <w:fldChar w:fldCharType="end"/>
      </w:r>
    </w:p>
    <w:p w:rsidR="0014780B" w:rsidRDefault="0014780B" w:rsidP="0014780B"/>
    <w:p w:rsidR="00F31C0D" w:rsidRDefault="00F31C0D" w:rsidP="0014780B"/>
    <w:p w:rsidR="00F31C0D" w:rsidRDefault="00F31C0D" w:rsidP="0014780B"/>
    <w:p w:rsidR="00F31C0D" w:rsidRDefault="00F31C0D" w:rsidP="0014780B"/>
    <w:p w:rsidR="00900251" w:rsidRDefault="00900251" w:rsidP="0014780B"/>
    <w:p w:rsidR="0014780B" w:rsidRDefault="0014780B" w:rsidP="0014780B">
      <w:pPr>
        <w:spacing w:line="240" w:lineRule="auto"/>
        <w:rPr>
          <w:b/>
          <w:u w:val="single"/>
        </w:rPr>
      </w:pPr>
      <w:r>
        <w:rPr>
          <w:b/>
          <w:u w:val="single"/>
        </w:rPr>
        <w:t xml:space="preserve">TABLE </w:t>
      </w:r>
      <w:r w:rsidR="00BE5231">
        <w:rPr>
          <w:b/>
          <w:u w:val="single"/>
        </w:rPr>
        <w:t>3</w:t>
      </w:r>
      <w:r>
        <w:rPr>
          <w:b/>
          <w:u w:val="single"/>
        </w:rPr>
        <w:t xml:space="preserve"> </w:t>
      </w:r>
    </w:p>
    <w:p w:rsidR="0014780B" w:rsidRPr="00C8474C" w:rsidRDefault="0014780B" w:rsidP="0014780B">
      <w:pPr>
        <w:spacing w:line="240" w:lineRule="auto"/>
        <w:rPr>
          <w:b/>
        </w:rPr>
      </w:pPr>
      <w:r>
        <w:rPr>
          <w:b/>
        </w:rPr>
        <w:t>Children who ceased to be looked after reason codes, during the year ending 31 March 2013</w:t>
      </w:r>
      <w:r w:rsidRPr="0003730C">
        <w:rPr>
          <w:b/>
        </w:rPr>
        <w:t>, by local auth</w:t>
      </w:r>
      <w:r>
        <w:rPr>
          <w:b/>
        </w:rPr>
        <w:t xml:space="preserve">ority (Leicester) </w:t>
      </w:r>
    </w:p>
    <w:tbl>
      <w:tblPr>
        <w:tblStyle w:val="MediumShading2-Accent5"/>
        <w:tblW w:w="3488" w:type="pct"/>
        <w:tblLayout w:type="fixed"/>
        <w:tblLook w:val="0660" w:firstRow="1" w:lastRow="1" w:firstColumn="0" w:lastColumn="0" w:noHBand="1" w:noVBand="1"/>
      </w:tblPr>
      <w:tblGrid>
        <w:gridCol w:w="6061"/>
        <w:gridCol w:w="3827"/>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r>
              <w:t xml:space="preserve">Care Ceased Code </w:t>
            </w:r>
          </w:p>
        </w:tc>
        <w:tc>
          <w:tcPr>
            <w:tcW w:w="1935" w:type="pct"/>
          </w:tcPr>
          <w:p w:rsidR="0014780B" w:rsidRPr="00BE4CB0" w:rsidRDefault="0014780B" w:rsidP="00327AAA">
            <w:r>
              <w:t>TOTAL CYP</w:t>
            </w:r>
          </w:p>
        </w:tc>
      </w:tr>
      <w:tr w:rsidR="0014780B" w:rsidRPr="00BE4CB0" w:rsidTr="00327AAA">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r w:rsidR="0014780B" w:rsidRPr="00BE4CB0" w:rsidTr="00327AAA">
        <w:tc>
          <w:tcPr>
            <w:tcW w:w="3065" w:type="pct"/>
            <w:noWrap/>
          </w:tcPr>
          <w:p w:rsidR="0014780B" w:rsidRPr="00BE4CB0" w:rsidRDefault="0014780B" w:rsidP="00327AAA">
            <w:r w:rsidRPr="00C8474C">
              <w:t>E11   Adopted - application unopposed</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20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E12   Adopted - consent dispensed with</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E3   Care taken over by another LA in UK</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w:t>
            </w:r>
          </w:p>
        </w:tc>
      </w:tr>
      <w:tr w:rsidR="0014780B" w:rsidRPr="00BE4CB0" w:rsidTr="00327AAA">
        <w:tc>
          <w:tcPr>
            <w:tcW w:w="3065" w:type="pct"/>
            <w:noWrap/>
          </w:tcPr>
          <w:p w:rsidR="0014780B" w:rsidRPr="002B2E49" w:rsidRDefault="0014780B" w:rsidP="00327AAA">
            <w:pPr>
              <w:rPr>
                <w:rFonts w:ascii="Calibri" w:hAnsi="Calibri"/>
                <w:color w:val="000000"/>
              </w:rPr>
            </w:pPr>
            <w:r>
              <w:rPr>
                <w:rFonts w:ascii="Calibri" w:hAnsi="Calibri"/>
                <w:color w:val="000000"/>
              </w:rPr>
              <w:t xml:space="preserve">E4   Returned live with parents NOT Res/Res Guard order </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46</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lastRenderedPageBreak/>
              <w:t>E41   Residence Order (court granted on date ep ceased)</w:t>
            </w:r>
          </w:p>
        </w:tc>
        <w:tc>
          <w:tcPr>
            <w:tcW w:w="1935" w:type="pct"/>
            <w:tcBorders>
              <w:bottom w:val="nil"/>
            </w:tcBorders>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11</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t>E43   Special guardianship order to former f/carer</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18</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E44   Special guardianship order NOT to former f/carer</w:t>
            </w:r>
          </w:p>
          <w:p w:rsidR="0014780B" w:rsidRDefault="0014780B" w:rsidP="00327AAA">
            <w:pPr>
              <w:rPr>
                <w:rFonts w:ascii="Calibri" w:hAnsi="Calibri"/>
                <w:color w:val="000000"/>
              </w:rPr>
            </w:pPr>
            <w:r>
              <w:rPr>
                <w:rFonts w:ascii="Calibri" w:hAnsi="Calibri"/>
                <w:color w:val="000000"/>
              </w:rPr>
              <w:t>E5   Moved to independent living - formal advice</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14</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E7   Transferred to care of adult social services</w:t>
            </w:r>
          </w:p>
          <w:p w:rsidR="0014780B" w:rsidRDefault="0014780B" w:rsidP="00327AAA">
            <w:pPr>
              <w:rPr>
                <w:rFonts w:ascii="Calibri" w:hAnsi="Calibri"/>
                <w:color w:val="000000"/>
              </w:rPr>
            </w:pPr>
            <w:r>
              <w:rPr>
                <w:rFonts w:ascii="Calibri" w:hAnsi="Calibri"/>
                <w:color w:val="000000"/>
              </w:rPr>
              <w:t>E8   Care ceased for any other reason</w:t>
            </w:r>
          </w:p>
          <w:p w:rsidR="0014780B" w:rsidRDefault="0014780B" w:rsidP="00327AAA">
            <w:pPr>
              <w:rPr>
                <w:rFonts w:ascii="Calibri" w:hAnsi="Calibri"/>
                <w:color w:val="000000"/>
              </w:rPr>
            </w:pPr>
            <w:r>
              <w:rPr>
                <w:rFonts w:ascii="Calibri" w:hAnsi="Calibri"/>
                <w:color w:val="000000"/>
              </w:rPr>
              <w:t>E9   Sentenced to custody</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3</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85</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tc>
      </w:tr>
      <w:tr w:rsidR="0014780B" w:rsidRPr="00244FEC" w:rsidTr="00327AAA">
        <w:tc>
          <w:tcPr>
            <w:tcW w:w="3065" w:type="pct"/>
            <w:tcBorders>
              <w:top w:val="nil"/>
              <w:bottom w:val="double" w:sz="6" w:space="0" w:color="auto"/>
            </w:tcBorders>
            <w:shd w:val="clear" w:color="auto" w:fill="92CDDC" w:themeFill="accent5" w:themeFillTint="99"/>
            <w:noWrap/>
          </w:tcPr>
          <w:p w:rsidR="0014780B" w:rsidRPr="00244FEC" w:rsidRDefault="0014780B" w:rsidP="00327AAA">
            <w:pPr>
              <w:rPr>
                <w:b/>
              </w:rPr>
            </w:pPr>
            <w:r w:rsidRPr="00244FEC">
              <w:rPr>
                <w:b/>
              </w:rPr>
              <w:t xml:space="preserve">Total LAC </w:t>
            </w:r>
          </w:p>
        </w:tc>
        <w:tc>
          <w:tcPr>
            <w:tcW w:w="1935" w:type="pct"/>
            <w:tcBorders>
              <w:top w:val="nil"/>
              <w:bottom w:val="double" w:sz="6" w:space="0" w:color="auto"/>
            </w:tcBorders>
            <w:shd w:val="clear" w:color="auto" w:fill="92CDDC" w:themeFill="accent5" w:themeFillTint="99"/>
          </w:tcPr>
          <w:p w:rsidR="0014780B" w:rsidRPr="00244FE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220</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bl>
    <w:p w:rsidR="00E806E0" w:rsidRDefault="00E806E0" w:rsidP="0014780B">
      <w:pPr>
        <w:rPr>
          <w:b/>
          <w:u w:val="single"/>
        </w:rPr>
      </w:pPr>
    </w:p>
    <w:p w:rsidR="0014780B" w:rsidRPr="006E7E61" w:rsidRDefault="0014780B" w:rsidP="0014780B">
      <w:pPr>
        <w:rPr>
          <w:b/>
          <w:u w:val="single"/>
        </w:rPr>
      </w:pPr>
      <w:r>
        <w:rPr>
          <w:b/>
          <w:u w:val="single"/>
        </w:rPr>
        <w:t xml:space="preserve">TABLE </w:t>
      </w:r>
      <w:r w:rsidR="00E806E0">
        <w:rPr>
          <w:b/>
          <w:u w:val="single"/>
        </w:rPr>
        <w:t>4</w:t>
      </w:r>
    </w:p>
    <w:p w:rsidR="0014780B" w:rsidRPr="006E7E61" w:rsidRDefault="0014780B" w:rsidP="0014780B">
      <w:pPr>
        <w:rPr>
          <w:b/>
          <w:u w:val="single"/>
        </w:rPr>
      </w:pPr>
      <w:r w:rsidRPr="00A626A5">
        <w:rPr>
          <w:rFonts w:eastAsiaTheme="minorEastAsia"/>
          <w:noProof/>
          <w:lang w:eastAsia="en-GB"/>
        </w:rPr>
        <mc:AlternateContent>
          <mc:Choice Requires="wps">
            <w:drawing>
              <wp:anchor distT="0" distB="0" distL="114300" distR="114300" simplePos="0" relativeHeight="251662336" behindDoc="0" locked="0" layoutInCell="1" allowOverlap="1" wp14:anchorId="59EF75B5" wp14:editId="5283969E">
                <wp:simplePos x="0" y="0"/>
                <wp:positionH relativeFrom="column">
                  <wp:posOffset>4733925</wp:posOffset>
                </wp:positionH>
                <wp:positionV relativeFrom="paragraph">
                  <wp:posOffset>276860</wp:posOffset>
                </wp:positionV>
                <wp:extent cx="3873261" cy="1933575"/>
                <wp:effectExtent l="0" t="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261" cy="1933575"/>
                        </a:xfrm>
                        <a:prstGeom prst="rect">
                          <a:avLst/>
                        </a:prstGeom>
                        <a:solidFill>
                          <a:srgbClr val="FFFFFF"/>
                        </a:solidFill>
                        <a:ln w="9525">
                          <a:solidFill>
                            <a:srgbClr val="000000"/>
                          </a:solidFill>
                          <a:miter lim="800000"/>
                          <a:headEnd/>
                          <a:tailEnd/>
                        </a:ln>
                      </wps:spPr>
                      <wps:txbx>
                        <w:txbxContent>
                          <w:p w:rsidR="00F31C0D" w:rsidRDefault="00F31C0D"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75pt;margin-top:21.8pt;width:30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">
                <v:textbox>
                  <w:txbxContent>
                    <w:p w:rsidR="00F31C0D" w:rsidRDefault="00F31C0D"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Pr>
          <w:b/>
          <w:u w:val="single"/>
        </w:rPr>
        <w:t>CYP</w:t>
      </w:r>
      <w:r w:rsidRPr="006E7E61">
        <w:rPr>
          <w:b/>
          <w:u w:val="single"/>
        </w:rPr>
        <w:t xml:space="preserve"> who started to be looked after during the year ending 31</w:t>
      </w:r>
      <w:r w:rsidRPr="006E7E61">
        <w:rPr>
          <w:b/>
          <w:u w:val="single"/>
          <w:vertAlign w:val="superscript"/>
        </w:rPr>
        <w:t>st</w:t>
      </w:r>
      <w:r w:rsidRPr="006E7E61">
        <w:rPr>
          <w:b/>
          <w:u w:val="single"/>
        </w:rPr>
        <w:t xml:space="preserve"> March 2013 by gender and </w:t>
      </w:r>
      <w:r w:rsidR="00A61D51" w:rsidRPr="006E7E61">
        <w:rPr>
          <w:b/>
          <w:u w:val="single"/>
        </w:rPr>
        <w:t xml:space="preserve">age </w:t>
      </w:r>
      <w:r w:rsidR="00A61D51">
        <w:rPr>
          <w:b/>
          <w:u w:val="single"/>
        </w:rPr>
        <w:t>(</w:t>
      </w:r>
      <w:r>
        <w:rPr>
          <w:b/>
          <w:u w:val="single"/>
        </w:rPr>
        <w:t>Leicester).</w:t>
      </w:r>
    </w:p>
    <w:tbl>
      <w:tblPr>
        <w:tblStyle w:val="MediumShading2-Accent5"/>
        <w:tblW w:w="2488" w:type="pct"/>
        <w:tblLayout w:type="fixed"/>
        <w:tblLook w:val="0660" w:firstRow="1" w:lastRow="1" w:firstColumn="0" w:lastColumn="0" w:noHBand="1" w:noVBand="1"/>
      </w:tblPr>
      <w:tblGrid>
        <w:gridCol w:w="1669"/>
        <w:gridCol w:w="1841"/>
        <w:gridCol w:w="1560"/>
        <w:gridCol w:w="1983"/>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r>
              <w:t xml:space="preserve">Age Group </w:t>
            </w:r>
          </w:p>
        </w:tc>
        <w:tc>
          <w:tcPr>
            <w:tcW w:w="1305" w:type="pct"/>
          </w:tcPr>
          <w:p w:rsidR="0014780B" w:rsidRDefault="0014780B" w:rsidP="00327AAA">
            <w:r>
              <w:t>Females</w:t>
            </w:r>
          </w:p>
        </w:tc>
        <w:tc>
          <w:tcPr>
            <w:tcW w:w="1106" w:type="pct"/>
          </w:tcPr>
          <w:p w:rsidR="0014780B" w:rsidRDefault="0014780B" w:rsidP="00327AAA">
            <w:r>
              <w:t xml:space="preserve">Males </w:t>
            </w:r>
          </w:p>
        </w:tc>
        <w:tc>
          <w:tcPr>
            <w:tcW w:w="1406" w:type="pct"/>
          </w:tcPr>
          <w:p w:rsidR="0014780B" w:rsidRPr="00BE4CB0" w:rsidRDefault="0014780B" w:rsidP="00327AAA">
            <w:r>
              <w:t xml:space="preserve">TOTAL CYP entering care </w:t>
            </w:r>
          </w:p>
        </w:tc>
      </w:tr>
      <w:tr w:rsidR="0014780B" w:rsidRPr="00BE4CB0" w:rsidTr="00327AAA">
        <w:trPr>
          <w:trHeight w:val="396"/>
        </w:trPr>
        <w:tc>
          <w:tcPr>
            <w:tcW w:w="1183" w:type="pct"/>
            <w:noWrap/>
          </w:tcPr>
          <w:p w:rsidR="0014780B" w:rsidRPr="00BE4CB0" w:rsidRDefault="0014780B" w:rsidP="00327AAA">
            <w:r>
              <w:t xml:space="preserve">Under  </w:t>
            </w:r>
          </w:p>
        </w:tc>
        <w:tc>
          <w:tcPr>
            <w:tcW w:w="1305" w:type="pct"/>
          </w:tcPr>
          <w:p w:rsidR="0014780B" w:rsidRPr="004F2467" w:rsidRDefault="0014780B" w:rsidP="00327AAA">
            <w:pPr>
              <w:pStyle w:val="DecimalAligned"/>
              <w:rPr>
                <w:sz w:val="20"/>
                <w:szCs w:val="20"/>
              </w:rPr>
            </w:pPr>
            <w:r w:rsidRPr="004F2467">
              <w:rPr>
                <w:sz w:val="20"/>
                <w:szCs w:val="20"/>
              </w:rPr>
              <w:t>8</w:t>
            </w:r>
          </w:p>
        </w:tc>
        <w:tc>
          <w:tcPr>
            <w:tcW w:w="1106" w:type="pct"/>
          </w:tcPr>
          <w:p w:rsidR="0014780B" w:rsidRPr="004F2467" w:rsidRDefault="0014780B" w:rsidP="00327AAA">
            <w:pPr>
              <w:pStyle w:val="DecimalAligned"/>
              <w:rPr>
                <w:sz w:val="20"/>
                <w:szCs w:val="20"/>
              </w:rPr>
            </w:pPr>
            <w:r>
              <w:rPr>
                <w:sz w:val="20"/>
                <w:szCs w:val="20"/>
              </w:rPr>
              <w:t>5</w:t>
            </w:r>
          </w:p>
        </w:tc>
        <w:tc>
          <w:tcPr>
            <w:tcW w:w="1406" w:type="pct"/>
          </w:tcPr>
          <w:p w:rsidR="0014780B" w:rsidRPr="004F2467" w:rsidRDefault="0014780B" w:rsidP="00327AAA">
            <w:pPr>
              <w:pStyle w:val="DecimalAligned"/>
              <w:rPr>
                <w:sz w:val="20"/>
                <w:szCs w:val="20"/>
              </w:rPr>
            </w:pPr>
            <w:r>
              <w:rPr>
                <w:sz w:val="20"/>
                <w:szCs w:val="20"/>
              </w:rPr>
              <w:t>13</w:t>
            </w:r>
          </w:p>
        </w:tc>
      </w:tr>
      <w:tr w:rsidR="0014780B" w:rsidRPr="00BE4CB0" w:rsidTr="00327AAA">
        <w:trPr>
          <w:trHeight w:val="417"/>
        </w:trPr>
        <w:tc>
          <w:tcPr>
            <w:tcW w:w="1183" w:type="pct"/>
            <w:noWrap/>
          </w:tcPr>
          <w:p w:rsidR="0014780B" w:rsidRPr="00BE4CB0" w:rsidRDefault="0014780B" w:rsidP="00327AAA">
            <w:r>
              <w:t xml:space="preserve">1 to 4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27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34</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61</w:t>
            </w:r>
          </w:p>
        </w:tc>
      </w:tr>
      <w:tr w:rsidR="0014780B" w:rsidRPr="00BE4CB0" w:rsidTr="00327AAA">
        <w:tc>
          <w:tcPr>
            <w:tcW w:w="1183" w:type="pct"/>
            <w:noWrap/>
          </w:tcPr>
          <w:p w:rsidR="0014780B" w:rsidRPr="00BE4CB0" w:rsidRDefault="0014780B" w:rsidP="00327AAA">
            <w:r>
              <w:t>5 to 9</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32</w:t>
            </w:r>
          </w:p>
        </w:tc>
      </w:tr>
      <w:tr w:rsidR="0014780B" w:rsidRPr="00BE4CB0" w:rsidTr="00327AAA">
        <w:trPr>
          <w:trHeight w:val="311"/>
        </w:trPr>
        <w:tc>
          <w:tcPr>
            <w:tcW w:w="1183" w:type="pct"/>
            <w:noWrap/>
          </w:tcPr>
          <w:p w:rsidR="0014780B" w:rsidRPr="00BE4CB0" w:rsidRDefault="0014780B" w:rsidP="00327AAA">
            <w:r>
              <w:t xml:space="preserve">10 to 15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20</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26  </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46</w:t>
            </w:r>
          </w:p>
        </w:tc>
      </w:tr>
      <w:tr w:rsidR="0014780B" w:rsidRPr="00BE4CB0" w:rsidTr="00327AAA">
        <w:tc>
          <w:tcPr>
            <w:tcW w:w="1183" w:type="pct"/>
            <w:noWrap/>
          </w:tcPr>
          <w:p w:rsidR="0014780B" w:rsidRPr="00BE4CB0" w:rsidRDefault="0014780B" w:rsidP="00327AAA">
            <w:r>
              <w:t xml:space="preserve">16 and Over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24</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29</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53</w:t>
            </w:r>
          </w:p>
        </w:tc>
      </w:tr>
      <w:tr w:rsidR="0014780B" w:rsidRPr="0068717C" w:rsidTr="00327AAA">
        <w:trPr>
          <w:trHeight w:val="295"/>
        </w:trPr>
        <w:tc>
          <w:tcPr>
            <w:tcW w:w="1183" w:type="pct"/>
            <w:tcBorders>
              <w:top w:val="nil"/>
              <w:bottom w:val="double" w:sz="6" w:space="0" w:color="auto"/>
            </w:tcBorders>
            <w:shd w:val="clear" w:color="auto" w:fill="92CDDC" w:themeFill="accent5" w:themeFillTint="99"/>
            <w:noWrap/>
          </w:tcPr>
          <w:p w:rsidR="0014780B" w:rsidRPr="0068717C" w:rsidRDefault="0014780B" w:rsidP="00327AAA">
            <w:pPr>
              <w:rPr>
                <w:b/>
                <w:sz w:val="16"/>
                <w:szCs w:val="16"/>
              </w:rPr>
            </w:pPr>
            <w:r w:rsidRPr="0068717C">
              <w:rPr>
                <w:b/>
                <w:sz w:val="16"/>
                <w:szCs w:val="16"/>
              </w:rPr>
              <w:t xml:space="preserve">Total LAC    </w:t>
            </w:r>
          </w:p>
        </w:tc>
        <w:tc>
          <w:tcPr>
            <w:tcW w:w="1305" w:type="pct"/>
            <w:tcBorders>
              <w:top w:val="nil"/>
              <w:bottom w:val="double" w:sz="6" w:space="0" w:color="auto"/>
            </w:tcBorders>
            <w:shd w:val="clear" w:color="auto" w:fill="92CDDC" w:themeFill="accent5" w:themeFillTint="99"/>
          </w:tcPr>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p>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r>
              <w:rPr>
                <w:rFonts w:ascii="Arial" w:eastAsia="Times New Roman" w:hAnsi="Arial" w:cs="Arial"/>
                <w:b/>
                <w:sz w:val="16"/>
                <w:szCs w:val="16"/>
                <w:lang w:eastAsia="en-GB"/>
              </w:rPr>
              <w:t>95</w:t>
            </w:r>
          </w:p>
        </w:tc>
        <w:tc>
          <w:tcPr>
            <w:tcW w:w="11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110</w:t>
            </w:r>
          </w:p>
        </w:tc>
        <w:tc>
          <w:tcPr>
            <w:tcW w:w="14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205</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tc>
        <w:tc>
          <w:tcPr>
            <w:tcW w:w="1305" w:type="pct"/>
          </w:tcPr>
          <w:p w:rsidR="0014780B" w:rsidRPr="00BE4CB0" w:rsidRDefault="0014780B" w:rsidP="00327AAA">
            <w:pPr>
              <w:pStyle w:val="DecimalAligned"/>
            </w:pPr>
          </w:p>
        </w:tc>
        <w:tc>
          <w:tcPr>
            <w:tcW w:w="1106" w:type="pct"/>
          </w:tcPr>
          <w:p w:rsidR="0014780B" w:rsidRPr="00BE4CB0" w:rsidRDefault="0014780B" w:rsidP="00327AAA">
            <w:pPr>
              <w:pStyle w:val="DecimalAligned"/>
            </w:pPr>
          </w:p>
        </w:tc>
        <w:tc>
          <w:tcPr>
            <w:tcW w:w="1406" w:type="pct"/>
          </w:tcPr>
          <w:p w:rsidR="0014780B" w:rsidRPr="00BE4CB0" w:rsidRDefault="0014780B" w:rsidP="00327AAA">
            <w:pPr>
              <w:pStyle w:val="DecimalAligned"/>
            </w:pPr>
          </w:p>
        </w:tc>
      </w:tr>
    </w:tbl>
    <w:p w:rsidR="0014780B" w:rsidRPr="00ED502A" w:rsidRDefault="0014780B" w:rsidP="0014780B">
      <w:pPr>
        <w:rPr>
          <w:i/>
        </w:rPr>
      </w:pPr>
      <w:r>
        <w:rPr>
          <w:noProof/>
          <w:lang w:eastAsia="en-GB"/>
        </w:rPr>
        <w:lastRenderedPageBreak/>
        <mc:AlternateContent>
          <mc:Choice Requires="wps">
            <w:drawing>
              <wp:anchor distT="0" distB="0" distL="114300" distR="114300" simplePos="0" relativeHeight="251661312" behindDoc="0" locked="0" layoutInCell="1" allowOverlap="1" wp14:anchorId="64C3661D" wp14:editId="37315C06">
                <wp:simplePos x="0" y="0"/>
                <wp:positionH relativeFrom="column">
                  <wp:posOffset>4762500</wp:posOffset>
                </wp:positionH>
                <wp:positionV relativeFrom="paragraph">
                  <wp:posOffset>154305</wp:posOffset>
                </wp:positionV>
                <wp:extent cx="3752215" cy="313372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3752215" cy="31337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F31C0D" w:rsidRDefault="00F31C0D" w:rsidP="00272D0E">
                            <w:pPr>
                              <w:pStyle w:val="ListParagraph"/>
                              <w:numPr>
                                <w:ilvl w:val="0"/>
                                <w:numId w:val="5"/>
                              </w:numPr>
                            </w:pPr>
                            <w:r>
                              <w:t>The largest number of CYP who entered care falls into the 1 to 4 age group.</w:t>
                            </w:r>
                          </w:p>
                          <w:p w:rsidR="00F31C0D" w:rsidRDefault="00F31C0D" w:rsidP="00272D0E">
                            <w:pPr>
                              <w:pStyle w:val="ListParagraph"/>
                              <w:numPr>
                                <w:ilvl w:val="0"/>
                                <w:numId w:val="5"/>
                              </w:numPr>
                            </w:pPr>
                            <w:r>
                              <w:t>Overall 30% of CYP entering care were aged 1 to 4. Of these 56% were males.</w:t>
                            </w:r>
                            <w:r w:rsidRPr="00515AAC">
                              <w:t xml:space="preserve"> </w:t>
                            </w:r>
                            <w:r>
                              <w:t xml:space="preserve">This group also has the highest number of males. </w:t>
                            </w:r>
                          </w:p>
                          <w:p w:rsidR="00F31C0D" w:rsidRDefault="00F31C0D" w:rsidP="00272D0E">
                            <w:pPr>
                              <w:pStyle w:val="ListParagraph"/>
                              <w:numPr>
                                <w:ilvl w:val="0"/>
                                <w:numId w:val="5"/>
                              </w:numPr>
                            </w:pPr>
                            <w:r>
                              <w:t>The second largest group entering care was the 16 and overs. This was 26% of the overall CYP entering care of which 55% were males.</w:t>
                            </w:r>
                          </w:p>
                          <w:p w:rsidR="00F31C0D" w:rsidRDefault="00F31C0D" w:rsidP="00272D0E">
                            <w:pPr>
                              <w:pStyle w:val="ListParagraph"/>
                              <w:numPr>
                                <w:ilvl w:val="0"/>
                                <w:numId w:val="5"/>
                              </w:numPr>
                            </w:pPr>
                            <w:r>
                              <w:t>The smallest number of CYP entering care fell into the under 1’s age group. 62% of the children entering care were females.</w:t>
                            </w:r>
                          </w:p>
                          <w:p w:rsidR="00F31C0D" w:rsidRDefault="00F31C0D" w:rsidP="00272D0E">
                            <w:pPr>
                              <w:pStyle w:val="ListParagraph"/>
                              <w:numPr>
                                <w:ilvl w:val="0"/>
                                <w:numId w:val="5"/>
                              </w:numPr>
                            </w:pPr>
                            <w:r>
                              <w:t>The 5 to 9 age group had an equal number of males and females .50% of males and females.</w:t>
                            </w:r>
                          </w:p>
                          <w:p w:rsidR="00F31C0D" w:rsidRDefault="00F31C0D" w:rsidP="00272D0E">
                            <w:pPr>
                              <w:pStyle w:val="ListParagraph"/>
                              <w:numPr>
                                <w:ilvl w:val="0"/>
                                <w:numId w:val="5"/>
                              </w:numPr>
                            </w:pPr>
                            <w:r>
                              <w:t>The 5 to 9 made up 16% of the number of children entering care.</w:t>
                            </w:r>
                          </w:p>
                          <w:p w:rsidR="00F31C0D" w:rsidRDefault="00F31C0D" w:rsidP="00272D0E">
                            <w:pPr>
                              <w:pStyle w:val="ListParagraph"/>
                              <w:numPr>
                                <w:ilvl w:val="0"/>
                                <w:numId w:val="5"/>
                              </w:numPr>
                            </w:pPr>
                          </w:p>
                          <w:p w:rsidR="00F31C0D" w:rsidRDefault="00F31C0D" w:rsidP="0014780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75pt;margin-top:12.15pt;width:295.4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" fillcolor="white [3201]" strokecolor="#8064a2 [3207]" strokeweight="2pt">
                <v:textbox>
                  <w:txbxContent>
                    <w:p w:rsidR="00F31C0D" w:rsidRDefault="00F31C0D" w:rsidP="00272D0E">
                      <w:pPr>
                        <w:pStyle w:val="ListParagraph"/>
                        <w:numPr>
                          <w:ilvl w:val="0"/>
                          <w:numId w:val="5"/>
                        </w:numPr>
                      </w:pPr>
                      <w:r>
                        <w:t>The largest number of CYP who entered care falls into the 1 to 4 age group.</w:t>
                      </w:r>
                    </w:p>
                    <w:p w:rsidR="00F31C0D" w:rsidRDefault="00F31C0D" w:rsidP="00272D0E">
                      <w:pPr>
                        <w:pStyle w:val="ListParagraph"/>
                        <w:numPr>
                          <w:ilvl w:val="0"/>
                          <w:numId w:val="5"/>
                        </w:numPr>
                      </w:pPr>
                      <w:r>
                        <w:t>Overall 30% of CYP entering care were aged 1 to 4. Of these 56% were males.</w:t>
                      </w:r>
                      <w:r w:rsidRPr="00515AAC">
                        <w:t xml:space="preserve"> </w:t>
                      </w:r>
                      <w:r>
                        <w:t xml:space="preserve">This group also has the highest number of males. </w:t>
                      </w:r>
                    </w:p>
                    <w:p w:rsidR="00F31C0D" w:rsidRDefault="00F31C0D" w:rsidP="00272D0E">
                      <w:pPr>
                        <w:pStyle w:val="ListParagraph"/>
                        <w:numPr>
                          <w:ilvl w:val="0"/>
                          <w:numId w:val="5"/>
                        </w:numPr>
                      </w:pPr>
                      <w:r>
                        <w:t>The second largest group entering care was the 16 and overs. This was 26% of the overall CYP entering care of which 55% were males.</w:t>
                      </w:r>
                    </w:p>
                    <w:p w:rsidR="00F31C0D" w:rsidRDefault="00F31C0D" w:rsidP="00272D0E">
                      <w:pPr>
                        <w:pStyle w:val="ListParagraph"/>
                        <w:numPr>
                          <w:ilvl w:val="0"/>
                          <w:numId w:val="5"/>
                        </w:numPr>
                      </w:pPr>
                      <w:r>
                        <w:t>The smallest number of CYP entering care fell into the under 1’s age group. 62% of the children entering care were females.</w:t>
                      </w:r>
                    </w:p>
                    <w:p w:rsidR="00F31C0D" w:rsidRDefault="00F31C0D" w:rsidP="00272D0E">
                      <w:pPr>
                        <w:pStyle w:val="ListParagraph"/>
                        <w:numPr>
                          <w:ilvl w:val="0"/>
                          <w:numId w:val="5"/>
                        </w:numPr>
                      </w:pPr>
                      <w:r>
                        <w:t>The 5 to 9 age group had an equal number of males and females .50% of males and females.</w:t>
                      </w:r>
                    </w:p>
                    <w:p w:rsidR="00F31C0D" w:rsidRDefault="00F31C0D" w:rsidP="00272D0E">
                      <w:pPr>
                        <w:pStyle w:val="ListParagraph"/>
                        <w:numPr>
                          <w:ilvl w:val="0"/>
                          <w:numId w:val="5"/>
                        </w:numPr>
                      </w:pPr>
                      <w:r>
                        <w:t>The 5 to 9 made up 16% of the number of children entering care.</w:t>
                      </w:r>
                    </w:p>
                    <w:p w:rsidR="00F31C0D" w:rsidRDefault="00F31C0D" w:rsidP="00272D0E">
                      <w:pPr>
                        <w:pStyle w:val="ListParagraph"/>
                        <w:numPr>
                          <w:ilvl w:val="0"/>
                          <w:numId w:val="5"/>
                        </w:numPr>
                      </w:pPr>
                    </w:p>
                    <w:p w:rsidR="00F31C0D" w:rsidRDefault="00F31C0D" w:rsidP="0014780B">
                      <w:pPr>
                        <w:pStyle w:val="ListParagraph"/>
                      </w:pPr>
                    </w:p>
                  </w:txbxContent>
                </v:textbox>
              </v:shape>
            </w:pict>
          </mc:Fallback>
        </mc:AlternateContent>
      </w:r>
      <w:r w:rsidRPr="00ED502A">
        <w:rPr>
          <w:i/>
        </w:rPr>
        <w:t>*Early indications show this is significantly different for children under 1 in 2013/14</w:t>
      </w:r>
    </w:p>
    <w:p w:rsidR="0014780B" w:rsidRDefault="0014780B" w:rsidP="0014780B">
      <w:r>
        <w:rPr>
          <w:noProof/>
          <w:lang w:eastAsia="en-GB"/>
        </w:rPr>
        <w:drawing>
          <wp:anchor distT="0" distB="0" distL="114300" distR="114300" simplePos="0" relativeHeight="251671552" behindDoc="1" locked="0" layoutInCell="1" allowOverlap="1" wp14:anchorId="672F9166" wp14:editId="26E9DC8F">
            <wp:simplePos x="0" y="0"/>
            <wp:positionH relativeFrom="column">
              <wp:posOffset>-66675</wp:posOffset>
            </wp:positionH>
            <wp:positionV relativeFrom="paragraph">
              <wp:posOffset>138430</wp:posOffset>
            </wp:positionV>
            <wp:extent cx="4629150" cy="2828925"/>
            <wp:effectExtent l="0" t="0" r="19050"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14780B" w:rsidRDefault="0014780B" w:rsidP="0014780B">
      <w:r>
        <w:t xml:space="preserve">       </w:t>
      </w: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14780B" w:rsidRDefault="0014780B" w:rsidP="0014780B">
      <w:pPr>
        <w:rPr>
          <w:b/>
          <w:u w:val="single"/>
        </w:rPr>
      </w:pPr>
      <w:r>
        <w:rPr>
          <w:b/>
          <w:u w:val="single"/>
        </w:rPr>
        <w:t xml:space="preserve">Table </w:t>
      </w:r>
      <w:r w:rsidR="00E806E0">
        <w:rPr>
          <w:b/>
          <w:u w:val="single"/>
        </w:rPr>
        <w:t>5</w:t>
      </w:r>
    </w:p>
    <w:p w:rsidR="0014780B" w:rsidRDefault="0014780B" w:rsidP="0014780B">
      <w:pPr>
        <w:rPr>
          <w:b/>
          <w:u w:val="single"/>
        </w:rPr>
      </w:pPr>
      <w:r>
        <w:rPr>
          <w:b/>
          <w:u w:val="single"/>
        </w:rPr>
        <w:t>Looked after children ethnicity breakdown as at 31</w:t>
      </w:r>
      <w:r w:rsidRPr="000108DB">
        <w:rPr>
          <w:b/>
          <w:u w:val="single"/>
          <w:vertAlign w:val="superscript"/>
        </w:rPr>
        <w:t>st</w:t>
      </w:r>
      <w:r>
        <w:rPr>
          <w:b/>
          <w:u w:val="single"/>
        </w:rPr>
        <w:t xml:space="preserve"> March 2011 – 2013</w:t>
      </w:r>
    </w:p>
    <w:p w:rsidR="0014780B" w:rsidRPr="00E54DBF" w:rsidRDefault="0014780B" w:rsidP="0014780B">
      <w:r w:rsidRPr="00EC28E1">
        <w:t xml:space="preserve">The </w:t>
      </w:r>
      <w:r>
        <w:t>White British category remains the highest number of CYP in care by ethical breakdown throughout the 3 year period. This figure increases or decreases marginally over a 3 year period.</w:t>
      </w:r>
    </w:p>
    <w:tbl>
      <w:tblPr>
        <w:tblStyle w:val="LightList-Accent5"/>
        <w:tblW w:w="11445" w:type="dxa"/>
        <w:tblLook w:val="04A0" w:firstRow="1" w:lastRow="0" w:firstColumn="1" w:lastColumn="0" w:noHBand="0" w:noVBand="1"/>
      </w:tblPr>
      <w:tblGrid>
        <w:gridCol w:w="2861"/>
        <w:gridCol w:w="1099"/>
        <w:gridCol w:w="1110"/>
        <w:gridCol w:w="652"/>
        <w:gridCol w:w="623"/>
        <w:gridCol w:w="1275"/>
        <w:gridCol w:w="963"/>
        <w:gridCol w:w="312"/>
        <w:gridCol w:w="1275"/>
        <w:gridCol w:w="1275"/>
      </w:tblGrid>
      <w:tr w:rsidR="0014780B" w:rsidRPr="00E54DBF" w:rsidTr="00327A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dxa"/>
            <w:noWrap/>
          </w:tcPr>
          <w:p w:rsidR="0014780B" w:rsidRPr="00E54DBF" w:rsidRDefault="0014780B" w:rsidP="00327AAA">
            <w:pPr>
              <w:jc w:val="center"/>
              <w:rPr>
                <w:rFonts w:ascii="Calibri" w:eastAsia="Times New Roman" w:hAnsi="Calibri" w:cs="Times New Roman"/>
                <w:bCs w:val="0"/>
                <w:color w:val="000000"/>
                <w:lang w:eastAsia="en-GB"/>
              </w:rPr>
            </w:pP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 xml:space="preserve">         2011</w:t>
            </w: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2012</w:t>
            </w:r>
          </w:p>
        </w:tc>
        <w:tc>
          <w:tcPr>
            <w:tcW w:w="2862"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2013</w:t>
            </w:r>
          </w:p>
        </w:tc>
      </w:tr>
      <w:tr w:rsidR="0014780B" w:rsidRPr="00E54DBF"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54DBF" w:rsidRDefault="0014780B" w:rsidP="00327AAA">
            <w:pPr>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 xml:space="preserve">Ethnicity Description </w:t>
            </w:r>
          </w:p>
        </w:tc>
        <w:tc>
          <w:tcPr>
            <w:tcW w:w="1110" w:type="dxa"/>
            <w:tcBorders>
              <w:left w:val="single" w:sz="8" w:space="0" w:color="4BACC6" w:themeColor="accent5"/>
            </w:tcBorders>
            <w:noWrap/>
            <w:hideMark/>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lastRenderedPageBreak/>
              <w:t>Any other ethnic group</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Indian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other Asian origin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African &amp; White</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Caribbean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African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Caribbean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other black origin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Somali</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Information not yet obtained</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Other dual heritage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 European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2F1013"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lang w:eastAsia="en-GB"/>
              </w:rPr>
            </w:pPr>
            <w:r w:rsidRPr="00D02595">
              <w:rPr>
                <w:rFonts w:ascii="Calibri" w:eastAsia="Times New Roman" w:hAnsi="Calibri" w:cs="Times New Roman"/>
                <w:color w:val="000000"/>
                <w:lang w:eastAsia="en-GB"/>
              </w:rPr>
              <w:t>5</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5</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British</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81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F1D3D">
              <w:rPr>
                <w:rFonts w:ascii="Calibri" w:eastAsia="Times New Roman" w:hAnsi="Calibri" w:cs="Times New Roman"/>
                <w:lang w:eastAsia="en-GB"/>
              </w:rPr>
              <w:t>78</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78</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-other</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B1043C"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shd w:val="clear" w:color="auto" w:fill="31849B" w:themeFill="accent5" w:themeFillShade="BF"/>
            <w:noWrap/>
            <w:hideMark/>
          </w:tcPr>
          <w:p w:rsidR="0014780B" w:rsidRPr="00B1043C" w:rsidRDefault="0014780B" w:rsidP="00327AAA">
            <w:pPr>
              <w:rPr>
                <w:rFonts w:ascii="Calibri" w:eastAsia="Times New Roman" w:hAnsi="Calibri" w:cs="Times New Roman"/>
                <w:color w:val="000000"/>
                <w:lang w:eastAsia="en-GB"/>
              </w:rPr>
            </w:pPr>
            <w:r w:rsidRPr="00B1043C">
              <w:rPr>
                <w:rFonts w:ascii="Calibri" w:eastAsia="Times New Roman" w:hAnsi="Calibri" w:cs="Times New Roman"/>
                <w:color w:val="000000"/>
                <w:lang w:eastAsia="en-GB"/>
              </w:rPr>
              <w:t>Total</w:t>
            </w:r>
          </w:p>
        </w:tc>
        <w:tc>
          <w:tcPr>
            <w:tcW w:w="1110" w:type="dxa"/>
            <w:tcBorders>
              <w:left w:val="single" w:sz="8" w:space="0" w:color="4BACC6" w:themeColor="accent5"/>
            </w:tcBorders>
            <w:shd w:val="clear" w:color="auto" w:fill="31849B" w:themeFill="accent5" w:themeFillShade="BF"/>
            <w:noWrap/>
            <w:hideMark/>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132</w:t>
            </w:r>
          </w:p>
        </w:tc>
        <w:tc>
          <w:tcPr>
            <w:tcW w:w="1275" w:type="dxa"/>
            <w:gridSpan w:val="2"/>
            <w:tcBorders>
              <w:left w:val="single" w:sz="8" w:space="0" w:color="4BACC6" w:themeColor="accent5"/>
            </w:tcBorders>
            <w:shd w:val="clear" w:color="auto" w:fill="31849B" w:themeFill="accent5" w:themeFillShade="BF"/>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gridSpan w:val="2"/>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r>
    </w:tbl>
    <w:p w:rsidR="00447B3A" w:rsidRDefault="00447B3A" w:rsidP="0014780B">
      <w:pPr>
        <w:rPr>
          <w:b/>
        </w:rPr>
      </w:pPr>
    </w:p>
    <w:p w:rsidR="00447B3A" w:rsidRDefault="00447B3A" w:rsidP="0014780B">
      <w:pPr>
        <w:rPr>
          <w:b/>
        </w:rPr>
      </w:pPr>
    </w:p>
    <w:p w:rsidR="0014780B" w:rsidRPr="007B155C" w:rsidRDefault="00E806E0" w:rsidP="0014780B">
      <w:pPr>
        <w:rPr>
          <w:b/>
          <w:u w:val="single"/>
        </w:rPr>
      </w:pPr>
      <w:r w:rsidRPr="00235A9D">
        <w:rPr>
          <w:noProof/>
          <w:lang w:eastAsia="en-GB"/>
        </w:rPr>
        <mc:AlternateContent>
          <mc:Choice Requires="wps">
            <w:drawing>
              <wp:anchor distT="0" distB="0" distL="114300" distR="114300" simplePos="0" relativeHeight="251664384" behindDoc="0" locked="0" layoutInCell="1" allowOverlap="1" wp14:anchorId="26B4D7D6" wp14:editId="02C90610">
                <wp:simplePos x="0" y="0"/>
                <wp:positionH relativeFrom="column">
                  <wp:posOffset>-60385</wp:posOffset>
                </wp:positionH>
                <wp:positionV relativeFrom="paragraph">
                  <wp:posOffset>233116</wp:posOffset>
                </wp:positionV>
                <wp:extent cx="8943975" cy="655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8943975" cy="655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0D" w:rsidRPr="00067D9E" w:rsidRDefault="00F31C0D" w:rsidP="0014780B">
                            <w:pPr>
                              <w:rPr>
                                <w:b/>
                                <w:sz w:val="24"/>
                                <w:u w:val="single"/>
                              </w:rPr>
                            </w:pPr>
                            <w:r w:rsidRPr="00067D9E">
                              <w:rPr>
                                <w:b/>
                                <w:sz w:val="24"/>
                                <w:u w:val="single"/>
                              </w:rPr>
                              <w:t>Commissioning Priority 1</w:t>
                            </w:r>
                          </w:p>
                          <w:p w:rsidR="00F31C0D" w:rsidRPr="00067D9E" w:rsidRDefault="00F31C0D" w:rsidP="0014780B">
                            <w:pPr>
                              <w:rPr>
                                <w:sz w:val="28"/>
                              </w:rPr>
                            </w:pPr>
                            <w:r w:rsidRPr="00067D9E">
                              <w:rPr>
                                <w:sz w:val="28"/>
                              </w:rPr>
                              <w:t>To work in partnership with early help and edge of care services so that the right children become LAC, at the right time</w:t>
                            </w:r>
                          </w:p>
                          <w:p w:rsidR="00F31C0D" w:rsidRDefault="00F31C0D" w:rsidP="0014780B"/>
                          <w:p w:rsidR="00F31C0D" w:rsidRDefault="00F31C0D" w:rsidP="0014780B"/>
                          <w:p w:rsidR="00F31C0D" w:rsidRPr="007B155C" w:rsidRDefault="00F31C0D" w:rsidP="0014780B"/>
                          <w:p w:rsidR="00F31C0D" w:rsidRDefault="00F31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4.75pt;margin-top:18.35pt;width:704.25pt;height:5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" filled="f" stroked="f" strokeweight=".5pt">
                <v:textbox>
                  <w:txbxContent>
                    <w:p w:rsidR="00F31C0D" w:rsidRPr="00067D9E" w:rsidRDefault="00F31C0D" w:rsidP="0014780B">
                      <w:pPr>
                        <w:rPr>
                          <w:b/>
                          <w:sz w:val="24"/>
                          <w:u w:val="single"/>
                        </w:rPr>
                      </w:pPr>
                      <w:r w:rsidRPr="00067D9E">
                        <w:rPr>
                          <w:b/>
                          <w:sz w:val="24"/>
                          <w:u w:val="single"/>
                        </w:rPr>
                        <w:t>Commissioning Priority 1</w:t>
                      </w:r>
                    </w:p>
                    <w:p w:rsidR="00F31C0D" w:rsidRPr="00067D9E" w:rsidRDefault="00F31C0D" w:rsidP="0014780B">
                      <w:pPr>
                        <w:rPr>
                          <w:sz w:val="28"/>
                        </w:rPr>
                      </w:pPr>
                      <w:r w:rsidRPr="00067D9E">
                        <w:rPr>
                          <w:sz w:val="28"/>
                        </w:rPr>
                        <w:t>To work in partnership with early help and edge of care services so that the right children become LAC, at the right time</w:t>
                      </w:r>
                    </w:p>
                    <w:p w:rsidR="00F31C0D" w:rsidRDefault="00F31C0D" w:rsidP="0014780B"/>
                    <w:p w:rsidR="00F31C0D" w:rsidRDefault="00F31C0D" w:rsidP="0014780B"/>
                    <w:p w:rsidR="00F31C0D" w:rsidRPr="007B155C" w:rsidRDefault="00F31C0D" w:rsidP="0014780B"/>
                    <w:p w:rsidR="00F31C0D" w:rsidRDefault="00F31C0D"/>
                  </w:txbxContent>
                </v:textbox>
              </v:shape>
            </w:pict>
          </mc:Fallback>
        </mc:AlternateContent>
      </w:r>
      <w:r w:rsidR="00235A9D">
        <w:rPr>
          <w:b/>
        </w:rPr>
        <w:t xml:space="preserve">12. </w:t>
      </w:r>
      <w:r w:rsidR="00A61D51" w:rsidRPr="00235A9D">
        <w:rPr>
          <w:b/>
          <w:u w:val="single"/>
        </w:rPr>
        <w:t>Appendix 10</w:t>
      </w:r>
      <w:r w:rsidR="00235A9D">
        <w:rPr>
          <w:b/>
          <w:u w:val="single"/>
        </w:rPr>
        <w:t xml:space="preserve">: </w:t>
      </w:r>
      <w:r w:rsidR="0014780B" w:rsidRPr="007B155C">
        <w:rPr>
          <w:b/>
          <w:u w:val="single"/>
        </w:rPr>
        <w:t>Children’s Social Care &amp; Safeguarding Commissioning Priorities</w:t>
      </w:r>
    </w:p>
    <w:tbl>
      <w:tblPr>
        <w:tblStyle w:val="TableGrid1"/>
        <w:tblpPr w:leftFromText="180" w:rightFromText="180" w:vertAnchor="page" w:horzAnchor="margin" w:tblpY="3586"/>
        <w:tblW w:w="4894" w:type="pct"/>
        <w:tblLook w:val="04A0" w:firstRow="1" w:lastRow="0" w:firstColumn="1" w:lastColumn="0" w:noHBand="0" w:noVBand="1"/>
      </w:tblPr>
      <w:tblGrid>
        <w:gridCol w:w="1952"/>
        <w:gridCol w:w="3830"/>
        <w:gridCol w:w="3100"/>
        <w:gridCol w:w="946"/>
        <w:gridCol w:w="2023"/>
        <w:gridCol w:w="2023"/>
      </w:tblGrid>
      <w:tr w:rsidR="00A71032" w:rsidRPr="00E6767F" w:rsidTr="00067D9E">
        <w:trPr>
          <w:trHeight w:val="701"/>
        </w:trPr>
        <w:tc>
          <w:tcPr>
            <w:tcW w:w="703" w:type="pct"/>
            <w:shd w:val="clear" w:color="auto" w:fill="92CDDC" w:themeFill="accent5" w:themeFillTint="99"/>
          </w:tcPr>
          <w:p w:rsidR="00A71032" w:rsidRPr="00E6767F" w:rsidRDefault="00A71032" w:rsidP="00000307">
            <w:pPr>
              <w:spacing w:line="276" w:lineRule="auto"/>
              <w:rPr>
                <w:b/>
              </w:rPr>
            </w:pPr>
          </w:p>
          <w:p w:rsidR="00A71032" w:rsidRPr="00E6767F" w:rsidRDefault="00A71032" w:rsidP="00000307">
            <w:pPr>
              <w:spacing w:line="276" w:lineRule="auto"/>
              <w:rPr>
                <w:b/>
              </w:rPr>
            </w:pPr>
            <w:r w:rsidRPr="00E6767F">
              <w:rPr>
                <w:b/>
              </w:rPr>
              <w:t>How</w:t>
            </w:r>
          </w:p>
        </w:tc>
        <w:tc>
          <w:tcPr>
            <w:tcW w:w="1379"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Outcome</w:t>
            </w:r>
          </w:p>
        </w:tc>
        <w:tc>
          <w:tcPr>
            <w:tcW w:w="1117"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Performance measures</w:t>
            </w:r>
          </w:p>
        </w:tc>
        <w:tc>
          <w:tcPr>
            <w:tcW w:w="341"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Lead</w:t>
            </w:r>
          </w:p>
        </w:tc>
        <w:tc>
          <w:tcPr>
            <w:tcW w:w="729" w:type="pct"/>
            <w:shd w:val="clear" w:color="auto" w:fill="92CDDC" w:themeFill="accent5" w:themeFillTint="99"/>
          </w:tcPr>
          <w:p w:rsidR="00A71032" w:rsidRDefault="00A71032" w:rsidP="00000307"/>
          <w:p w:rsidR="00A71032" w:rsidRPr="0014780B" w:rsidRDefault="00A71032" w:rsidP="00000307">
            <w:pPr>
              <w:rPr>
                <w:b/>
              </w:rPr>
            </w:pPr>
            <w:r>
              <w:rPr>
                <w:b/>
              </w:rPr>
              <w:t>Progress</w:t>
            </w:r>
          </w:p>
        </w:tc>
        <w:tc>
          <w:tcPr>
            <w:tcW w:w="729" w:type="pct"/>
            <w:shd w:val="clear" w:color="auto" w:fill="92CDDC" w:themeFill="accent5" w:themeFillTint="99"/>
          </w:tcPr>
          <w:p w:rsidR="00A71032" w:rsidRDefault="00A71032" w:rsidP="00000307"/>
          <w:p w:rsidR="00A71032" w:rsidRDefault="00A71032" w:rsidP="00000307"/>
          <w:p w:rsidR="00A71032" w:rsidRPr="00564FC9" w:rsidRDefault="00A71032" w:rsidP="00000307">
            <w:pPr>
              <w:rPr>
                <w:b/>
                <w:i/>
                <w:u w:val="single"/>
              </w:rPr>
            </w:pPr>
          </w:p>
        </w:tc>
      </w:tr>
      <w:tr w:rsidR="00A71032" w:rsidRPr="00E6767F" w:rsidTr="00067D9E">
        <w:tc>
          <w:tcPr>
            <w:tcW w:w="703" w:type="pct"/>
          </w:tcPr>
          <w:p w:rsidR="00A71032" w:rsidRPr="00E6767F" w:rsidRDefault="00A71032" w:rsidP="00000307">
            <w:pPr>
              <w:spacing w:line="276" w:lineRule="auto"/>
            </w:pPr>
          </w:p>
          <w:p w:rsidR="00A71032" w:rsidRDefault="00A71032" w:rsidP="00000307">
            <w:pPr>
              <w:spacing w:line="276" w:lineRule="auto"/>
            </w:pPr>
            <w:r w:rsidRPr="00E6767F">
              <w:t>Social work teams refer to resources such as MST, Think Family as appropriate.</w:t>
            </w:r>
          </w:p>
          <w:p w:rsidR="00A71032" w:rsidRPr="00E6767F" w:rsidRDefault="00A71032" w:rsidP="00000307">
            <w:pPr>
              <w:spacing w:line="276" w:lineRule="auto"/>
            </w:pPr>
          </w:p>
          <w:p w:rsidR="00A71032" w:rsidRDefault="00A71032" w:rsidP="00000307">
            <w:pPr>
              <w:spacing w:line="276" w:lineRule="auto"/>
            </w:pPr>
            <w:r w:rsidRPr="00E6767F">
              <w:t>Genograms and chronologies to be completed to identify family members who can provide alternative care</w:t>
            </w:r>
            <w:r>
              <w:t xml:space="preserve"> or support</w:t>
            </w:r>
            <w:r w:rsidRPr="00E6767F">
              <w:t>.</w:t>
            </w:r>
          </w:p>
          <w:p w:rsidR="00A71032" w:rsidRDefault="00A71032" w:rsidP="00000307">
            <w:pPr>
              <w:spacing w:line="276" w:lineRule="auto"/>
            </w:pPr>
          </w:p>
          <w:p w:rsidR="00A71032" w:rsidRDefault="00A71032" w:rsidP="00000307">
            <w:pPr>
              <w:spacing w:line="276" w:lineRule="auto"/>
            </w:pPr>
            <w:r w:rsidRPr="00E6767F">
              <w:t>LARP to identify emerging themes and gaps in provision</w:t>
            </w:r>
          </w:p>
          <w:p w:rsidR="00A71032" w:rsidRPr="00E6767F" w:rsidRDefault="00A71032" w:rsidP="00000307">
            <w:pPr>
              <w:spacing w:line="276" w:lineRule="auto"/>
            </w:pPr>
          </w:p>
          <w:p w:rsidR="00A71032" w:rsidRPr="00E6767F" w:rsidRDefault="00A71032" w:rsidP="00000307">
            <w:pPr>
              <w:spacing w:line="276" w:lineRule="auto"/>
            </w:pPr>
            <w:r w:rsidRPr="00E6767F">
              <w:t xml:space="preserve">Care Planning </w:t>
            </w:r>
            <w:r w:rsidRPr="00E6767F">
              <w:lastRenderedPageBreak/>
              <w:t>processes to ident</w:t>
            </w:r>
            <w:r>
              <w:t>ify</w:t>
            </w:r>
            <w:r w:rsidRPr="00E6767F">
              <w:t xml:space="preserve"> exit routes from care</w:t>
            </w:r>
          </w:p>
          <w:p w:rsidR="00A71032" w:rsidRDefault="00A71032" w:rsidP="00000307">
            <w:pPr>
              <w:spacing w:line="276" w:lineRule="auto"/>
            </w:pPr>
            <w:r w:rsidRPr="00E6767F">
              <w:t>L</w:t>
            </w:r>
            <w:r>
              <w:t>AC</w:t>
            </w:r>
            <w:r w:rsidRPr="00E6767F">
              <w:t xml:space="preserve"> review</w:t>
            </w:r>
            <w:r>
              <w:t xml:space="preserve"> decisions and care planning processes</w:t>
            </w:r>
          </w:p>
          <w:p w:rsidR="00A71032" w:rsidRDefault="00A71032" w:rsidP="00000307">
            <w:pPr>
              <w:spacing w:line="276" w:lineRule="auto"/>
            </w:pPr>
          </w:p>
          <w:p w:rsidR="00A71032"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Re-</w:t>
            </w:r>
            <w:r>
              <w:rPr>
                <w:rFonts w:eastAsia="SimSun" w:cs="Arial"/>
                <w:kern w:val="3"/>
                <w:lang w:eastAsia="zh-CN" w:bidi="hi-IN"/>
              </w:rPr>
              <w:t>s</w:t>
            </w:r>
            <w:r w:rsidRPr="00544E3B">
              <w:rPr>
                <w:rFonts w:eastAsia="SimSun" w:cs="Arial"/>
                <w:kern w:val="3"/>
                <w:lang w:eastAsia="zh-CN" w:bidi="hi-IN"/>
              </w:rPr>
              <w:t xml:space="preserve">tructure Family Placement Service  </w:t>
            </w:r>
            <w:r>
              <w:rPr>
                <w:rFonts w:eastAsia="SimSun" w:cs="Arial"/>
                <w:kern w:val="3"/>
                <w:lang w:eastAsia="zh-CN" w:bidi="hi-IN"/>
              </w:rPr>
              <w:t>(April 2014)</w:t>
            </w:r>
            <w:r w:rsidRPr="00544E3B">
              <w:rPr>
                <w:rFonts w:eastAsia="SimSun" w:cs="Arial"/>
                <w:kern w:val="3"/>
                <w:lang w:eastAsia="zh-CN" w:bidi="hi-IN"/>
              </w:rPr>
              <w:t xml:space="preserve"> </w:t>
            </w:r>
          </w:p>
          <w:p w:rsidR="00A71032" w:rsidRDefault="00A71032" w:rsidP="00000307">
            <w:pPr>
              <w:widowControl w:val="0"/>
              <w:suppressAutoHyphens/>
              <w:autoSpaceDN w:val="0"/>
              <w:ind w:left="87"/>
              <w:contextualSpacing/>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Pr>
                <w:rFonts w:eastAsia="SimSun" w:cs="Arial"/>
                <w:kern w:val="3"/>
                <w:lang w:eastAsia="zh-CN" w:bidi="hi-IN"/>
              </w:rPr>
              <w:t>Restructure Placement and Commissioning Service (April 2014)</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 xml:space="preserve">Provide consistent </w:t>
            </w:r>
            <w:r>
              <w:rPr>
                <w:rFonts w:eastAsia="SimSun" w:cs="Arial"/>
                <w:kern w:val="3"/>
                <w:lang w:eastAsia="zh-CN" w:bidi="hi-IN"/>
              </w:rPr>
              <w:t>p</w:t>
            </w:r>
            <w:r w:rsidRPr="00544E3B">
              <w:rPr>
                <w:rFonts w:eastAsia="SimSun" w:cs="Arial"/>
                <w:kern w:val="3"/>
                <w:lang w:eastAsia="zh-CN" w:bidi="hi-IN"/>
              </w:rPr>
              <w:t>lacement and matching response</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 xml:space="preserve">Review and revise current policies in relation to Special </w:t>
            </w:r>
            <w:r w:rsidRPr="00544E3B">
              <w:rPr>
                <w:rFonts w:eastAsia="SimSun" w:cs="Arial"/>
                <w:kern w:val="3"/>
                <w:lang w:eastAsia="zh-CN" w:bidi="hi-IN"/>
              </w:rPr>
              <w:lastRenderedPageBreak/>
              <w:t>Guardianship Orders, to include financial support to former foster carers</w:t>
            </w:r>
          </w:p>
          <w:p w:rsidR="00A71032" w:rsidRPr="00544E3B" w:rsidRDefault="00A71032" w:rsidP="00000307">
            <w:pPr>
              <w:pStyle w:val="ListParagraph"/>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Implementation of Adoption Service Improvement Plan</w:t>
            </w:r>
          </w:p>
          <w:p w:rsidR="00A71032" w:rsidRPr="00E6767F" w:rsidRDefault="00A71032" w:rsidP="00000307">
            <w:pPr>
              <w:spacing w:line="276" w:lineRule="auto"/>
            </w:pPr>
          </w:p>
        </w:tc>
        <w:tc>
          <w:tcPr>
            <w:tcW w:w="1379" w:type="pct"/>
          </w:tcPr>
          <w:p w:rsidR="00A71032" w:rsidRPr="00E6767F" w:rsidRDefault="00A71032" w:rsidP="00000307">
            <w:pPr>
              <w:spacing w:line="276" w:lineRule="auto"/>
            </w:pPr>
          </w:p>
          <w:p w:rsidR="00A71032" w:rsidRPr="00E6767F" w:rsidRDefault="00A71032" w:rsidP="00000307">
            <w:pPr>
              <w:spacing w:line="276" w:lineRule="auto"/>
            </w:pPr>
            <w:r w:rsidRPr="00E6767F">
              <w:t>No child is LAC unless there is no safe alternative.</w:t>
            </w:r>
          </w:p>
          <w:p w:rsidR="00A71032" w:rsidRDefault="00A71032" w:rsidP="00000307">
            <w:pPr>
              <w:spacing w:line="276" w:lineRule="auto"/>
            </w:pPr>
          </w:p>
          <w:p w:rsidR="00A71032" w:rsidRPr="00E6767F" w:rsidRDefault="00A71032" w:rsidP="00000307">
            <w:pPr>
              <w:spacing w:line="276" w:lineRule="auto"/>
            </w:pPr>
            <w:r w:rsidRPr="00E6767F">
              <w:t xml:space="preserve">Increased placement choice and matching.  </w:t>
            </w:r>
          </w:p>
          <w:p w:rsidR="00A71032" w:rsidRDefault="00A71032" w:rsidP="00000307">
            <w:pPr>
              <w:spacing w:line="276" w:lineRule="auto"/>
            </w:pPr>
          </w:p>
          <w:p w:rsidR="00A71032" w:rsidRPr="00E6767F" w:rsidRDefault="00A71032" w:rsidP="00000307">
            <w:pPr>
              <w:spacing w:line="276" w:lineRule="auto"/>
            </w:pPr>
            <w:r>
              <w:t>Improved p</w:t>
            </w:r>
            <w:r w:rsidRPr="00E6767F">
              <w:t xml:space="preserve">ermanence and stability. </w:t>
            </w:r>
          </w:p>
          <w:p w:rsidR="00A71032" w:rsidRPr="00E6767F" w:rsidRDefault="00A71032" w:rsidP="00000307">
            <w:pPr>
              <w:spacing w:line="276" w:lineRule="auto"/>
            </w:pPr>
          </w:p>
          <w:p w:rsidR="00A71032" w:rsidRPr="00E6767F" w:rsidRDefault="00A71032" w:rsidP="00000307">
            <w:pPr>
              <w:spacing w:line="276" w:lineRule="auto"/>
            </w:pPr>
          </w:p>
        </w:tc>
        <w:tc>
          <w:tcPr>
            <w:tcW w:w="1117" w:type="pct"/>
          </w:tcPr>
          <w:p w:rsidR="00A71032" w:rsidRPr="00E6767F" w:rsidRDefault="00A71032" w:rsidP="00000307">
            <w:pPr>
              <w:spacing w:line="276" w:lineRule="auto"/>
            </w:pPr>
          </w:p>
          <w:p w:rsidR="00A71032" w:rsidRPr="00D35849" w:rsidRDefault="00A71032" w:rsidP="00000307">
            <w:pPr>
              <w:widowControl w:val="0"/>
              <w:suppressLineNumbers/>
              <w:suppressAutoHyphens/>
              <w:autoSpaceDN w:val="0"/>
              <w:ind w:left="18" w:hanging="87"/>
              <w:textAlignment w:val="baseline"/>
              <w:rPr>
                <w:rFonts w:eastAsia="SimSun" w:cs="Arial"/>
                <w:kern w:val="3"/>
                <w:sz w:val="24"/>
                <w:szCs w:val="24"/>
                <w:lang w:eastAsia="zh-CN" w:bidi="hi-IN"/>
              </w:rPr>
            </w:pPr>
            <w:r>
              <w:rPr>
                <w:rFonts w:eastAsia="SimSun" w:cs="Arial"/>
                <w:kern w:val="3"/>
                <w:sz w:val="24"/>
                <w:szCs w:val="24"/>
                <w:lang w:eastAsia="zh-CN" w:bidi="hi-IN"/>
              </w:rPr>
              <w:t xml:space="preserve"> </w:t>
            </w:r>
            <w:r w:rsidRPr="00D35849">
              <w:rPr>
                <w:rFonts w:eastAsia="SimSun" w:cs="Arial"/>
                <w:kern w:val="3"/>
                <w:sz w:val="24"/>
                <w:szCs w:val="24"/>
                <w:lang w:eastAsia="zh-CN" w:bidi="hi-IN"/>
              </w:rPr>
              <w:t>Numeric reduction in the number of LAC each year by 15 – 20.</w:t>
            </w:r>
          </w:p>
          <w:p w:rsidR="00A71032" w:rsidRPr="00D35849" w:rsidRDefault="00A71032" w:rsidP="00000307">
            <w:pPr>
              <w:widowControl w:val="0"/>
              <w:suppressLineNumbers/>
              <w:suppressAutoHyphens/>
              <w:autoSpaceDN w:val="0"/>
              <w:ind w:left="370"/>
              <w:textAlignment w:val="baseline"/>
              <w:rPr>
                <w:rFonts w:eastAsia="SimSun" w:cs="Arial"/>
                <w:kern w:val="3"/>
                <w:sz w:val="24"/>
                <w:szCs w:val="24"/>
                <w:lang w:eastAsia="zh-CN" w:bidi="hi-IN"/>
              </w:rPr>
            </w:pPr>
          </w:p>
          <w:p w:rsidR="00A71032" w:rsidRDefault="00A71032" w:rsidP="00000307">
            <w:pPr>
              <w:spacing w:line="276" w:lineRule="auto"/>
            </w:pPr>
            <w:r w:rsidRPr="00D35849">
              <w:t>MST and Think Family outcomes.</w:t>
            </w:r>
          </w:p>
          <w:p w:rsidR="00A71032" w:rsidRPr="00D35849" w:rsidRDefault="00A71032" w:rsidP="00000307">
            <w:pPr>
              <w:spacing w:line="276" w:lineRule="auto"/>
            </w:pPr>
          </w:p>
          <w:p w:rsidR="00A71032" w:rsidRPr="00D35849" w:rsidRDefault="00A71032" w:rsidP="00000307">
            <w:pPr>
              <w:spacing w:line="276" w:lineRule="auto"/>
            </w:pPr>
            <w:r w:rsidRPr="00D35849">
              <w:t xml:space="preserve">Numbers of CAFs completed </w:t>
            </w:r>
          </w:p>
          <w:p w:rsidR="00A71032" w:rsidRPr="00051B92" w:rsidRDefault="00A71032" w:rsidP="00000307">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A71032" w:rsidRPr="00E6767F" w:rsidRDefault="00A71032" w:rsidP="00000307">
            <w:pPr>
              <w:spacing w:line="276" w:lineRule="auto"/>
            </w:pPr>
          </w:p>
          <w:p w:rsidR="00A71032" w:rsidRDefault="00A71032" w:rsidP="00000307">
            <w:pPr>
              <w:spacing w:line="276" w:lineRule="auto"/>
            </w:pPr>
            <w:r w:rsidRPr="00E6767F">
              <w:t>Analysis of children presented at LARP</w:t>
            </w:r>
            <w:r>
              <w:t xml:space="preserve"> on annual basis</w:t>
            </w:r>
            <w:r w:rsidRPr="00E6767F">
              <w:t>.</w:t>
            </w:r>
          </w:p>
          <w:p w:rsidR="00A71032" w:rsidRPr="00E6767F" w:rsidRDefault="00A71032" w:rsidP="00000307">
            <w:pPr>
              <w:spacing w:line="276" w:lineRule="auto"/>
            </w:pP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A71032" w:rsidRDefault="00A71032" w:rsidP="00000307">
            <w:pPr>
              <w:widowControl w:val="0"/>
              <w:suppressLineNumbers/>
              <w:suppressAutoHyphens/>
              <w:autoSpaceDN w:val="0"/>
              <w:ind w:left="18"/>
              <w:textAlignment w:val="baseline"/>
            </w:pPr>
            <w:r w:rsidRPr="00D35849">
              <w:rPr>
                <w:rFonts w:eastAsia="SimSun" w:cs="Arial"/>
                <w:kern w:val="3"/>
                <w:sz w:val="24"/>
                <w:szCs w:val="24"/>
                <w:lang w:eastAsia="zh-CN" w:bidi="hi-IN"/>
              </w:rPr>
              <w:lastRenderedPageBreak/>
              <w:t>Minimum of 40 children adopted annually and meet national thresholds for timeliness</w:t>
            </w:r>
            <w:r w:rsidRPr="00D35849">
              <w:t xml:space="preserve"> </w:t>
            </w:r>
          </w:p>
          <w:p w:rsidR="00A71032" w:rsidRDefault="00A71032" w:rsidP="00000307">
            <w:pPr>
              <w:widowControl w:val="0"/>
              <w:suppressLineNumbers/>
              <w:suppressAutoHyphens/>
              <w:autoSpaceDN w:val="0"/>
              <w:ind w:left="18"/>
              <w:textAlignment w:val="baseline"/>
            </w:pPr>
          </w:p>
          <w:p w:rsidR="00A71032" w:rsidRDefault="00A71032" w:rsidP="00000307">
            <w:pPr>
              <w:widowControl w:val="0"/>
              <w:suppressLineNumbers/>
              <w:suppressAutoHyphens/>
              <w:autoSpaceDN w:val="0"/>
              <w:ind w:left="18"/>
              <w:textAlignment w:val="baseline"/>
              <w:rPr>
                <w:rFonts w:eastAsia="SimSun" w:cs="Arial"/>
                <w:color w:val="FF0000"/>
                <w:kern w:val="3"/>
                <w:sz w:val="24"/>
                <w:szCs w:val="24"/>
                <w:lang w:eastAsia="zh-CN" w:bidi="hi-IN"/>
              </w:rPr>
            </w:pPr>
            <w:r w:rsidRPr="00D35849">
              <w:t xml:space="preserve">KPI’s  NI 62 and  NI 63 </w:t>
            </w:r>
            <w:r w:rsidRPr="00D35849">
              <w:rPr>
                <w:rFonts w:eastAsia="SimSun" w:cs="Arial"/>
                <w:kern w:val="3"/>
                <w:sz w:val="24"/>
                <w:szCs w:val="24"/>
                <w:lang w:eastAsia="zh-CN" w:bidi="hi-IN"/>
              </w:rPr>
              <w:t xml:space="preserve"> sho</w:t>
            </w:r>
            <w:r>
              <w:rPr>
                <w:rFonts w:eastAsia="SimSun" w:cs="Arial"/>
                <w:kern w:val="3"/>
                <w:sz w:val="24"/>
                <w:szCs w:val="24"/>
                <w:lang w:eastAsia="zh-CN" w:bidi="hi-IN"/>
              </w:rPr>
              <w:t>w</w:t>
            </w:r>
            <w:r w:rsidRPr="00D35849">
              <w:rPr>
                <w:rFonts w:eastAsia="SimSun" w:cs="Arial"/>
                <w:kern w:val="3"/>
                <w:sz w:val="24"/>
                <w:szCs w:val="24"/>
                <w:lang w:eastAsia="zh-CN" w:bidi="hi-IN"/>
              </w:rPr>
              <w:t xml:space="preserve"> improved performance </w:t>
            </w:r>
            <w:r>
              <w:rPr>
                <w:rFonts w:eastAsia="SimSun" w:cs="Arial"/>
                <w:kern w:val="3"/>
                <w:sz w:val="24"/>
                <w:szCs w:val="24"/>
                <w:lang w:eastAsia="zh-CN" w:bidi="hi-IN"/>
              </w:rPr>
              <w:t xml:space="preserve">to </w:t>
            </w:r>
            <w:r w:rsidRPr="001F1DB9">
              <w:rPr>
                <w:rFonts w:eastAsia="SimSun" w:cs="Arial"/>
                <w:kern w:val="3"/>
                <w:sz w:val="24"/>
                <w:szCs w:val="24"/>
                <w:lang w:eastAsia="zh-CN" w:bidi="hi-IN"/>
              </w:rPr>
              <w:t>10%/75%</w:t>
            </w:r>
          </w:p>
          <w:p w:rsidR="00A71032" w:rsidRPr="00D35849" w:rsidRDefault="00A71032" w:rsidP="00000307">
            <w:pPr>
              <w:widowControl w:val="0"/>
              <w:suppressLineNumbers/>
              <w:suppressAutoHyphens/>
              <w:autoSpaceDN w:val="0"/>
              <w:ind w:left="18"/>
              <w:textAlignment w:val="baseline"/>
              <w:rPr>
                <w:rFonts w:eastAsia="SimSun" w:cs="Arial"/>
                <w:kern w:val="3"/>
                <w:sz w:val="24"/>
                <w:szCs w:val="24"/>
                <w:lang w:eastAsia="zh-CN" w:bidi="hi-IN"/>
              </w:rPr>
            </w:pPr>
          </w:p>
          <w:p w:rsidR="00A71032" w:rsidRPr="00051B9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D35849">
              <w:rPr>
                <w:rFonts w:eastAsia="SimSun" w:cs="Arial"/>
                <w:kern w:val="3"/>
                <w:sz w:val="24"/>
                <w:szCs w:val="24"/>
                <w:lang w:eastAsia="zh-CN" w:bidi="hi-IN"/>
              </w:rPr>
              <w:t>10 children to exit care through  Special Guardianship Orders</w:t>
            </w:r>
            <w:r>
              <w:rPr>
                <w:rFonts w:eastAsia="SimSun" w:cs="Arial"/>
                <w:kern w:val="3"/>
                <w:sz w:val="24"/>
                <w:szCs w:val="24"/>
                <w:lang w:eastAsia="zh-CN" w:bidi="hi-IN"/>
              </w:rPr>
              <w:t xml:space="preserve"> </w:t>
            </w:r>
            <w:r w:rsidRPr="00D35849">
              <w:rPr>
                <w:rFonts w:eastAsia="SimSun" w:cs="Arial"/>
                <w:kern w:val="3"/>
                <w:sz w:val="24"/>
                <w:szCs w:val="24"/>
                <w:lang w:eastAsia="zh-CN" w:bidi="hi-IN"/>
              </w:rPr>
              <w:t>with their carers</w:t>
            </w:r>
            <w:r>
              <w:rPr>
                <w:rFonts w:eastAsia="SimSun" w:cs="Arial"/>
                <w:kern w:val="3"/>
                <w:sz w:val="24"/>
                <w:szCs w:val="24"/>
                <w:lang w:eastAsia="zh-CN" w:bidi="hi-IN"/>
              </w:rPr>
              <w:t xml:space="preserve"> each year</w:t>
            </w:r>
          </w:p>
          <w:p w:rsidR="00A71032" w:rsidRPr="00E6767F" w:rsidRDefault="00A71032" w:rsidP="00000307">
            <w:pPr>
              <w:spacing w:line="276" w:lineRule="auto"/>
            </w:pPr>
          </w:p>
        </w:tc>
        <w:tc>
          <w:tcPr>
            <w:tcW w:w="341" w:type="pct"/>
          </w:tcPr>
          <w:p w:rsidR="00A71032" w:rsidRPr="00E6767F" w:rsidRDefault="00A71032" w:rsidP="00000307">
            <w:pPr>
              <w:spacing w:line="276" w:lineRule="auto"/>
            </w:pPr>
          </w:p>
          <w:p w:rsidR="00A71032" w:rsidRDefault="00A71032" w:rsidP="00000307">
            <w:pPr>
              <w:spacing w:line="276" w:lineRule="auto"/>
            </w:pPr>
            <w:r w:rsidRPr="00E6767F">
              <w:t>Head of Service, LAC</w:t>
            </w:r>
          </w:p>
          <w:p w:rsidR="00A71032" w:rsidRPr="00E6767F" w:rsidRDefault="00A71032" w:rsidP="00000307">
            <w:pPr>
              <w:widowControl w:val="0"/>
              <w:suppressLineNumbers/>
              <w:suppressAutoHyphens/>
              <w:autoSpaceDN w:val="0"/>
              <w:ind w:left="87"/>
              <w:textAlignment w:val="baseline"/>
            </w:pPr>
          </w:p>
        </w:tc>
        <w:tc>
          <w:tcPr>
            <w:tcW w:w="729" w:type="pct"/>
          </w:tcPr>
          <w:p w:rsidR="00A71032" w:rsidRPr="006A1852" w:rsidRDefault="00A71032" w:rsidP="00000307"/>
          <w:p w:rsidR="00A71032" w:rsidRPr="006A1852" w:rsidRDefault="00A71032" w:rsidP="00000307">
            <w:r w:rsidRPr="006A1852">
              <w:t>LARP is embedded in practice</w:t>
            </w:r>
          </w:p>
          <w:p w:rsidR="00A71032" w:rsidRPr="006A1852" w:rsidRDefault="00A71032" w:rsidP="00000307"/>
          <w:p w:rsidR="00A71032" w:rsidRPr="006A1852" w:rsidRDefault="00A71032" w:rsidP="00000307">
            <w:r w:rsidRPr="006A1852">
              <w:t>MST data evidences success in diverting children from care</w:t>
            </w:r>
          </w:p>
          <w:p w:rsidR="00A71032" w:rsidRPr="006A1852" w:rsidRDefault="00A71032" w:rsidP="00000307"/>
          <w:p w:rsidR="00A71032" w:rsidRPr="006A1852" w:rsidRDefault="00A71032" w:rsidP="00000307">
            <w:r w:rsidRPr="006A1852">
              <w:t>Genograms and chronologies, to inform pre-proceedings work, are improving</w:t>
            </w:r>
          </w:p>
          <w:p w:rsidR="00A71032" w:rsidRPr="006A1852" w:rsidRDefault="00A71032" w:rsidP="00000307"/>
          <w:p w:rsidR="00A71032" w:rsidRPr="006A1852" w:rsidRDefault="00A71032" w:rsidP="00000307">
            <w:r w:rsidRPr="006A1852">
              <w:t>Care planning and tracking processes embedded in practice</w:t>
            </w:r>
          </w:p>
          <w:p w:rsidR="00A71032" w:rsidRPr="006A1852" w:rsidRDefault="00A71032" w:rsidP="00000307"/>
          <w:p w:rsidR="00A71032" w:rsidRPr="001F1DB9" w:rsidRDefault="00A71032" w:rsidP="00000307">
            <w:pPr>
              <w:widowControl w:val="0"/>
              <w:suppressAutoHyphens/>
              <w:autoSpaceDN w:val="0"/>
              <w:ind w:hanging="61"/>
              <w:contextualSpacing/>
              <w:textAlignment w:val="baseline"/>
              <w:rPr>
                <w:rFonts w:ascii="Arial" w:eastAsia="SimSun" w:hAnsi="Arial" w:cs="Arial"/>
                <w:kern w:val="3"/>
                <w:sz w:val="24"/>
                <w:szCs w:val="21"/>
                <w:lang w:eastAsia="zh-CN" w:bidi="hi-IN"/>
              </w:rPr>
            </w:pPr>
            <w:r w:rsidRPr="001F1DB9">
              <w:t>Review of Section 20 admissions due January 2014</w:t>
            </w:r>
            <w:r w:rsidRPr="001F1DB9">
              <w:rPr>
                <w:rFonts w:ascii="Arial" w:eastAsia="SimSun" w:hAnsi="Arial" w:cs="Arial"/>
                <w:kern w:val="3"/>
                <w:sz w:val="24"/>
                <w:szCs w:val="21"/>
                <w:lang w:eastAsia="zh-CN" w:bidi="hi-IN"/>
              </w:rPr>
              <w:t xml:space="preserve"> </w:t>
            </w:r>
          </w:p>
          <w:p w:rsidR="00A71032" w:rsidRDefault="00A71032" w:rsidP="00000307">
            <w:pPr>
              <w:rPr>
                <w:color w:val="FF0000"/>
              </w:rPr>
            </w:pPr>
          </w:p>
          <w:p w:rsidR="00A71032" w:rsidRDefault="00A71032" w:rsidP="00000307">
            <w:pPr>
              <w:rPr>
                <w:color w:val="FF0000"/>
              </w:rPr>
            </w:pPr>
          </w:p>
          <w:p w:rsidR="00A71032" w:rsidRPr="006A1852" w:rsidRDefault="00A71032" w:rsidP="00000307"/>
        </w:tc>
        <w:tc>
          <w:tcPr>
            <w:tcW w:w="729" w:type="pct"/>
          </w:tcPr>
          <w:p w:rsidR="00A71032" w:rsidRPr="006A1852" w:rsidRDefault="00A71032" w:rsidP="00000307"/>
          <w:p w:rsidR="00A71032" w:rsidRPr="006A1852" w:rsidRDefault="00A71032" w:rsidP="00000307">
            <w:r w:rsidRPr="006A1852">
              <w:t xml:space="preserve">By end of </w:t>
            </w:r>
            <w:r>
              <w:t xml:space="preserve">April </w:t>
            </w:r>
            <w:r w:rsidRPr="006A1852">
              <w:t>201</w:t>
            </w:r>
            <w:r>
              <w:t>5</w:t>
            </w:r>
          </w:p>
        </w:tc>
      </w:tr>
    </w:tbl>
    <w:p w:rsidR="0014780B" w:rsidRDefault="0014780B" w:rsidP="0014780B">
      <w:pPr>
        <w:rPr>
          <w:u w:val="single"/>
        </w:rPr>
      </w:pPr>
    </w:p>
    <w:p w:rsidR="003D1703" w:rsidRPr="00B76623" w:rsidRDefault="003D1703" w:rsidP="003D1703">
      <w:pPr>
        <w:rPr>
          <w:u w:val="single"/>
        </w:rPr>
      </w:pPr>
      <w:r w:rsidRPr="00B76623">
        <w:rPr>
          <w:u w:val="single"/>
        </w:rPr>
        <w:t xml:space="preserve">Commissioning </w:t>
      </w:r>
      <w:r>
        <w:rPr>
          <w:u w:val="single"/>
        </w:rPr>
        <w:t>Priority</w:t>
      </w:r>
      <w:r w:rsidRPr="00B76623">
        <w:rPr>
          <w:u w:val="single"/>
        </w:rPr>
        <w:t xml:space="preserve"> 2</w:t>
      </w:r>
    </w:p>
    <w:p w:rsidR="003D1703" w:rsidRDefault="003D1703" w:rsidP="003D1703">
      <w:pPr>
        <w:rPr>
          <w:u w:val="single"/>
        </w:rPr>
      </w:pPr>
      <w:r>
        <w:t>To have sufficient high quality placements that provide consistently good and outstanding care to children so their assessed needs are met and children achieve to their full potential</w:t>
      </w:r>
    </w:p>
    <w:p w:rsidR="00CE3403" w:rsidRPr="00E6767F" w:rsidRDefault="00CE3403" w:rsidP="0014780B">
      <w:pPr>
        <w:rPr>
          <w:u w:val="single"/>
        </w:rPr>
      </w:pPr>
    </w:p>
    <w:tbl>
      <w:tblPr>
        <w:tblStyle w:val="TableGrid2"/>
        <w:tblW w:w="4889" w:type="pct"/>
        <w:tblLayout w:type="fixed"/>
        <w:tblLook w:val="04A0" w:firstRow="1" w:lastRow="0" w:firstColumn="1" w:lastColumn="0" w:noHBand="0" w:noVBand="1"/>
      </w:tblPr>
      <w:tblGrid>
        <w:gridCol w:w="1951"/>
        <w:gridCol w:w="3789"/>
        <w:gridCol w:w="3157"/>
        <w:gridCol w:w="851"/>
        <w:gridCol w:w="2126"/>
        <w:gridCol w:w="1985"/>
      </w:tblGrid>
      <w:tr w:rsidR="00A71032" w:rsidRPr="00E6767F" w:rsidTr="00067D9E">
        <w:tc>
          <w:tcPr>
            <w:tcW w:w="704" w:type="pct"/>
            <w:shd w:val="clear" w:color="auto" w:fill="92CDDC" w:themeFill="accent5" w:themeFillTint="99"/>
          </w:tcPr>
          <w:p w:rsidR="00A71032" w:rsidRPr="00E6767F" w:rsidRDefault="00A71032" w:rsidP="00327AAA">
            <w:pPr>
              <w:rPr>
                <w:b/>
              </w:rPr>
            </w:pPr>
          </w:p>
          <w:p w:rsidR="00A71032" w:rsidRPr="00E6767F" w:rsidRDefault="00A71032" w:rsidP="00327AAA">
            <w:pPr>
              <w:rPr>
                <w:b/>
              </w:rPr>
            </w:pPr>
            <w:r w:rsidRPr="00E6767F">
              <w:rPr>
                <w:b/>
              </w:rPr>
              <w:t>How</w:t>
            </w:r>
          </w:p>
        </w:tc>
        <w:tc>
          <w:tcPr>
            <w:tcW w:w="1367"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Outcome</w:t>
            </w:r>
          </w:p>
        </w:tc>
        <w:tc>
          <w:tcPr>
            <w:tcW w:w="1139"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Performance measures</w:t>
            </w:r>
          </w:p>
        </w:tc>
        <w:tc>
          <w:tcPr>
            <w:tcW w:w="307" w:type="pct"/>
            <w:shd w:val="clear" w:color="auto" w:fill="92CDDC" w:themeFill="accent5" w:themeFillTint="99"/>
          </w:tcPr>
          <w:p w:rsidR="00A71032" w:rsidRPr="00E6767F" w:rsidRDefault="00A71032" w:rsidP="00327AAA"/>
          <w:p w:rsidR="00A71032" w:rsidRPr="00E6767F" w:rsidRDefault="00A71032" w:rsidP="00327AAA">
            <w:pPr>
              <w:rPr>
                <w:b/>
              </w:rPr>
            </w:pPr>
            <w:r w:rsidRPr="0014780B">
              <w:rPr>
                <w:b/>
              </w:rPr>
              <w:t>Lead</w:t>
            </w:r>
          </w:p>
        </w:tc>
        <w:tc>
          <w:tcPr>
            <w:tcW w:w="767" w:type="pct"/>
            <w:shd w:val="clear" w:color="auto" w:fill="92CDDC" w:themeFill="accent5" w:themeFillTint="99"/>
          </w:tcPr>
          <w:p w:rsidR="00A71032" w:rsidRDefault="00A71032" w:rsidP="00327AAA"/>
          <w:p w:rsidR="00A71032" w:rsidRPr="0014780B" w:rsidRDefault="00A71032" w:rsidP="00327AAA">
            <w:pPr>
              <w:rPr>
                <w:b/>
              </w:rPr>
            </w:pPr>
            <w:r w:rsidRPr="0014780B">
              <w:rPr>
                <w:b/>
              </w:rPr>
              <w:t>Progress</w:t>
            </w:r>
          </w:p>
        </w:tc>
        <w:tc>
          <w:tcPr>
            <w:tcW w:w="716" w:type="pct"/>
            <w:shd w:val="clear" w:color="auto" w:fill="92CDDC" w:themeFill="accent5" w:themeFillTint="99"/>
          </w:tcPr>
          <w:p w:rsidR="00A71032" w:rsidRDefault="00A71032" w:rsidP="00327AAA"/>
          <w:p w:rsidR="00A71032" w:rsidRPr="0014780B" w:rsidRDefault="00A71032" w:rsidP="00327AAA">
            <w:pPr>
              <w:rPr>
                <w:b/>
              </w:rPr>
            </w:pPr>
            <w:r w:rsidRPr="0014780B">
              <w:rPr>
                <w:b/>
              </w:rPr>
              <w:t>Timescale</w:t>
            </w:r>
          </w:p>
        </w:tc>
      </w:tr>
      <w:tr w:rsidR="00A71032" w:rsidRPr="00E6767F" w:rsidTr="00067D9E">
        <w:tc>
          <w:tcPr>
            <w:tcW w:w="704" w:type="pct"/>
          </w:tcPr>
          <w:p w:rsidR="00A71032" w:rsidRPr="001F1DB9" w:rsidRDefault="00A71032" w:rsidP="00327AAA">
            <w:pPr>
              <w:rPr>
                <w:u w:val="single"/>
              </w:rPr>
            </w:pPr>
          </w:p>
          <w:p w:rsidR="00A71032" w:rsidRPr="001F1DB9" w:rsidRDefault="00A71032" w:rsidP="00327AAA">
            <w:r w:rsidRPr="001F1DB9">
              <w:t xml:space="preserve">Targeted recruitment of carers to meet emerging needs, </w:t>
            </w:r>
            <w:r w:rsidRPr="001F1DB9">
              <w:lastRenderedPageBreak/>
              <w:t>particularly children aged 12 and over, sibling groups, and mother and baby placements.</w:t>
            </w:r>
          </w:p>
          <w:p w:rsidR="00A71032" w:rsidRPr="001F1DB9" w:rsidRDefault="00A71032" w:rsidP="00327AAA"/>
          <w:p w:rsidR="00A71032" w:rsidRPr="001F1DB9" w:rsidRDefault="00A71032" w:rsidP="00564FC9">
            <w:r w:rsidRPr="001F1DB9">
              <w:t>Child specific foster carer / adopter recruitment</w:t>
            </w:r>
          </w:p>
          <w:p w:rsidR="00A71032" w:rsidRPr="001F1DB9" w:rsidRDefault="00A71032" w:rsidP="00564FC9"/>
          <w:p w:rsidR="00A71032" w:rsidRPr="001F1DB9" w:rsidRDefault="00A71032" w:rsidP="00564FC9">
            <w:r w:rsidRPr="001F1DB9">
              <w:t>Review foster carer payment structure to incentivise foster carers to provide placements for remand, emergency and disabled children placements.</w:t>
            </w:r>
          </w:p>
          <w:p w:rsidR="00A71032" w:rsidRPr="001F1DB9" w:rsidRDefault="00A71032" w:rsidP="00564FC9"/>
          <w:p w:rsidR="00A71032" w:rsidRPr="001F1DB9" w:rsidRDefault="00A71032" w:rsidP="00564FC9">
            <w:r w:rsidRPr="001F1DB9">
              <w:t>Increase take up of foster to adopt placements</w:t>
            </w:r>
          </w:p>
          <w:p w:rsidR="00A71032" w:rsidRPr="001F1DB9" w:rsidRDefault="00A71032" w:rsidP="00327AAA"/>
          <w:p w:rsidR="00A71032" w:rsidRPr="001F1DB9" w:rsidRDefault="00A71032" w:rsidP="00327AAA">
            <w:r w:rsidRPr="001F1DB9">
              <w:lastRenderedPageBreak/>
              <w:t>Regional partnerships and consortia to be used to maximum benefit.</w:t>
            </w:r>
          </w:p>
          <w:p w:rsidR="00A71032" w:rsidRPr="001F1DB9" w:rsidRDefault="00A71032" w:rsidP="00327AAA"/>
          <w:p w:rsidR="00A71032" w:rsidRPr="001F1DB9" w:rsidRDefault="00A71032" w:rsidP="00327AAA">
            <w:r w:rsidRPr="001F1DB9">
              <w:t>Placement planning and matching processes to be refined through service transformation.</w:t>
            </w:r>
          </w:p>
          <w:p w:rsidR="00A71032" w:rsidRPr="001F1DB9" w:rsidRDefault="00A71032" w:rsidP="00327AAA"/>
          <w:p w:rsidR="00A71032" w:rsidRPr="001F1DB9" w:rsidRDefault="00A71032" w:rsidP="00327AAA">
            <w:r w:rsidRPr="001F1DB9">
              <w:t xml:space="preserve">Children are not placed in external provision that is not judged good or outstanding.  </w:t>
            </w:r>
          </w:p>
          <w:p w:rsidR="00A71032" w:rsidRPr="001F1DB9" w:rsidRDefault="00A71032" w:rsidP="00327AAA"/>
          <w:p w:rsidR="00A71032" w:rsidRPr="001F1DB9" w:rsidRDefault="00A71032" w:rsidP="00327AAA">
            <w:r w:rsidRPr="001F1DB9">
              <w:t>Ongoing quality assurance systems in place, which includes the views of the child.</w:t>
            </w:r>
          </w:p>
          <w:p w:rsidR="00A71032" w:rsidRPr="001F1DB9" w:rsidRDefault="00A71032" w:rsidP="00327AAA"/>
          <w:p w:rsidR="00A71032" w:rsidRPr="001F1DB9" w:rsidRDefault="00A71032" w:rsidP="00327AAA">
            <w:r w:rsidRPr="001F1DB9">
              <w:t xml:space="preserve">Implement the </w:t>
            </w:r>
            <w:r w:rsidRPr="001F1DB9">
              <w:lastRenderedPageBreak/>
              <w:t xml:space="preserve">Residential Care Improvement plan. </w:t>
            </w:r>
          </w:p>
          <w:p w:rsidR="00A71032" w:rsidRPr="001F1DB9" w:rsidRDefault="00A71032" w:rsidP="00327AAA"/>
          <w:p w:rsidR="00A71032" w:rsidRPr="001F1DB9" w:rsidRDefault="00A71032" w:rsidP="00327AAA">
            <w:r w:rsidRPr="001F1DB9">
              <w:t xml:space="preserve">Implement the Adoption Improvement plan. </w:t>
            </w:r>
          </w:p>
          <w:p w:rsidR="00A71032" w:rsidRPr="001F1DB9" w:rsidRDefault="00A71032" w:rsidP="00327AAA"/>
          <w:p w:rsidR="00A71032" w:rsidRPr="001F1DB9" w:rsidRDefault="00A71032" w:rsidP="00327AAA">
            <w:r w:rsidRPr="001F1DB9">
              <w:t>Benchmark services against the Ofsted inspection framework grade descriptors, including those for care leavers</w:t>
            </w:r>
          </w:p>
          <w:p w:rsidR="00A71032" w:rsidRPr="001F1DB9" w:rsidRDefault="00A71032" w:rsidP="00327AAA"/>
          <w:p w:rsidR="00A71032" w:rsidRPr="001F1DB9" w:rsidRDefault="00A71032" w:rsidP="00DE05F0">
            <w:pPr>
              <w:widowControl w:val="0"/>
              <w:suppressLineNumbers/>
              <w:suppressAutoHyphens/>
              <w:autoSpaceDN w:val="0"/>
              <w:contextualSpacing/>
              <w:textAlignment w:val="baseline"/>
              <w:rPr>
                <w:rFonts w:eastAsia="SimSun" w:cs="Arial"/>
                <w:kern w:val="3"/>
                <w:lang w:eastAsia="zh-CN" w:bidi="hi-IN"/>
              </w:rPr>
            </w:pPr>
            <w:r w:rsidRPr="001F1DB9">
              <w:rPr>
                <w:rFonts w:eastAsia="SimSun" w:cs="Arial"/>
                <w:kern w:val="3"/>
                <w:lang w:eastAsia="zh-CN" w:bidi="hi-IN"/>
              </w:rPr>
              <w:t>Reorganisation of fostering service structure around recruitment, assessment and placement support.</w:t>
            </w:r>
          </w:p>
          <w:p w:rsidR="00A71032" w:rsidRPr="001F1DB9" w:rsidRDefault="00A71032" w:rsidP="00DE05F0">
            <w:pPr>
              <w:widowControl w:val="0"/>
              <w:suppressLineNumbers/>
              <w:suppressAutoHyphens/>
              <w:autoSpaceDN w:val="0"/>
              <w:contextualSpacing/>
              <w:textAlignment w:val="baseline"/>
              <w:rPr>
                <w:rFonts w:eastAsia="SimSun" w:cs="Arial"/>
                <w:kern w:val="3"/>
                <w:lang w:eastAsia="zh-CN" w:bidi="hi-IN"/>
              </w:rPr>
            </w:pPr>
          </w:p>
          <w:p w:rsidR="00A71032" w:rsidRPr="001F1DB9" w:rsidRDefault="00A71032" w:rsidP="00DE05F0">
            <w:pPr>
              <w:widowControl w:val="0"/>
              <w:suppressLineNumbers/>
              <w:suppressAutoHyphens/>
              <w:autoSpaceDN w:val="0"/>
              <w:textAlignment w:val="baseline"/>
              <w:rPr>
                <w:rFonts w:eastAsia="SimSun" w:cs="Arial"/>
                <w:kern w:val="3"/>
                <w:lang w:eastAsia="zh-CN" w:bidi="hi-IN"/>
              </w:rPr>
            </w:pPr>
            <w:r w:rsidRPr="001F1DB9">
              <w:rPr>
                <w:rFonts w:eastAsia="SimSun" w:cs="Arial"/>
                <w:kern w:val="3"/>
                <w:lang w:eastAsia="zh-CN" w:bidi="hi-IN"/>
              </w:rPr>
              <w:t xml:space="preserve">Legal Planning Meeting Panel to examine all </w:t>
            </w:r>
            <w:r w:rsidRPr="001F1DB9">
              <w:rPr>
                <w:rFonts w:eastAsia="SimSun" w:cs="Arial"/>
                <w:kern w:val="3"/>
                <w:lang w:eastAsia="zh-CN" w:bidi="hi-IN"/>
              </w:rPr>
              <w:lastRenderedPageBreak/>
              <w:t>possible kinship options and identify all children requiring permanent placements prior to care entry who will not be adopted. (PLO)</w:t>
            </w:r>
          </w:p>
          <w:p w:rsidR="00A71032" w:rsidRPr="001F1DB9" w:rsidRDefault="00A71032" w:rsidP="00651910">
            <w:pPr>
              <w:widowControl w:val="0"/>
              <w:suppressLineNumbers/>
              <w:suppressAutoHyphens/>
              <w:autoSpaceDN w:val="0"/>
              <w:ind w:left="370"/>
              <w:textAlignment w:val="baseline"/>
              <w:rPr>
                <w:rFonts w:eastAsia="SimSun" w:cs="Arial"/>
                <w:kern w:val="3"/>
                <w:lang w:eastAsia="zh-CN" w:bidi="hi-IN"/>
              </w:rPr>
            </w:pPr>
          </w:p>
          <w:p w:rsidR="00A71032" w:rsidRPr="001F1DB9" w:rsidRDefault="00A71032" w:rsidP="00651910">
            <w:pPr>
              <w:rPr>
                <w:rFonts w:eastAsia="SimSun" w:cs="Arial"/>
                <w:kern w:val="3"/>
                <w:lang w:eastAsia="zh-CN" w:bidi="hi-IN"/>
              </w:rPr>
            </w:pPr>
            <w:r w:rsidRPr="001F1DB9">
              <w:rPr>
                <w:rFonts w:eastAsia="SimSun" w:cs="Arial"/>
                <w:kern w:val="3"/>
                <w:lang w:eastAsia="zh-CN" w:bidi="hi-IN"/>
              </w:rPr>
              <w:t>Increase fostering recruitment budget by £40,000 per annum to enable more effective use of TV, IT, and social media, including internet advertising</w:t>
            </w:r>
          </w:p>
          <w:p w:rsidR="00A71032" w:rsidRPr="001F1DB9" w:rsidRDefault="00A71032" w:rsidP="00651910">
            <w:pPr>
              <w:rPr>
                <w:rFonts w:eastAsia="SimSun" w:cs="Arial"/>
                <w:kern w:val="3"/>
                <w:lang w:eastAsia="zh-CN" w:bidi="hi-IN"/>
              </w:rPr>
            </w:pPr>
          </w:p>
          <w:p w:rsidR="00A71032" w:rsidRPr="001F1DB9" w:rsidRDefault="00A71032" w:rsidP="00B941C3">
            <w:r w:rsidRPr="001F1DB9">
              <w:t>Review foster carer payment structure to incentivise fostering of older children.</w:t>
            </w:r>
          </w:p>
          <w:p w:rsidR="00A71032" w:rsidRPr="001F1DB9" w:rsidRDefault="00A71032" w:rsidP="00B941C3"/>
          <w:p w:rsidR="00A71032" w:rsidRPr="001F1DB9" w:rsidRDefault="00A71032" w:rsidP="00B941C3">
            <w:r w:rsidRPr="001F1DB9">
              <w:t>Targeted  permanent placement support by CFST</w:t>
            </w:r>
          </w:p>
          <w:p w:rsidR="00A71032" w:rsidRPr="001F1DB9" w:rsidRDefault="00A71032" w:rsidP="00B941C3"/>
          <w:p w:rsidR="00A71032" w:rsidRPr="001F1DB9" w:rsidRDefault="00A71032" w:rsidP="00B941C3">
            <w:r w:rsidRPr="001F1DB9">
              <w:t>PDG to monitor use of external placements to maximise use of in-house placements for older children, including bringing children back ‘in-house’</w:t>
            </w:r>
          </w:p>
        </w:tc>
        <w:tc>
          <w:tcPr>
            <w:tcW w:w="1367" w:type="pct"/>
          </w:tcPr>
          <w:p w:rsidR="00A71032" w:rsidRPr="001F1DB9" w:rsidRDefault="00A71032" w:rsidP="00327AAA">
            <w:pPr>
              <w:rPr>
                <w:u w:val="single"/>
              </w:rPr>
            </w:pPr>
          </w:p>
          <w:p w:rsidR="00A71032" w:rsidRPr="001F1DB9" w:rsidRDefault="00A71032" w:rsidP="00327AAA">
            <w:r w:rsidRPr="001F1DB9">
              <w:t>Improved placement stability</w:t>
            </w:r>
          </w:p>
          <w:p w:rsidR="00A71032" w:rsidRPr="001F1DB9" w:rsidRDefault="00A71032" w:rsidP="00327AAA"/>
          <w:p w:rsidR="00A71032" w:rsidRPr="001F1DB9" w:rsidRDefault="00A71032" w:rsidP="00327AAA">
            <w:r w:rsidRPr="001F1DB9">
              <w:t>Reduction in 3+ placement moves</w:t>
            </w:r>
          </w:p>
          <w:p w:rsidR="00A71032" w:rsidRPr="001F1DB9" w:rsidRDefault="00A71032" w:rsidP="00327AAA"/>
          <w:p w:rsidR="00A71032" w:rsidRPr="001F1DB9" w:rsidRDefault="00A71032" w:rsidP="00327AAA">
            <w:r w:rsidRPr="001F1DB9">
              <w:lastRenderedPageBreak/>
              <w:t>Children report they are safe and feel safe in their placements</w:t>
            </w:r>
          </w:p>
          <w:p w:rsidR="00A71032" w:rsidRPr="001F1DB9" w:rsidRDefault="00A71032" w:rsidP="00327AAA"/>
          <w:p w:rsidR="00A71032" w:rsidRPr="001F1DB9" w:rsidRDefault="00A71032" w:rsidP="00327AAA">
            <w:r w:rsidRPr="001F1DB9">
              <w:t>Children live in   placements that meet their assessed need and achieve good outcomes</w:t>
            </w:r>
          </w:p>
          <w:p w:rsidR="00A71032" w:rsidRPr="001F1DB9" w:rsidRDefault="00A71032" w:rsidP="00327AAA"/>
          <w:p w:rsidR="00A71032" w:rsidRPr="001F1DB9" w:rsidRDefault="00A71032" w:rsidP="00327AAA">
            <w:r w:rsidRPr="001F1DB9">
              <w:t>Quality assurance outcomes inform future service provision and evidence improvement in placement quality</w:t>
            </w:r>
          </w:p>
          <w:p w:rsidR="00A71032" w:rsidRPr="001F1DB9" w:rsidRDefault="00A71032" w:rsidP="00327AAA"/>
          <w:p w:rsidR="00A71032" w:rsidRPr="001F1DB9" w:rsidRDefault="00A71032" w:rsidP="00327AAA">
            <w:r w:rsidRPr="001F1DB9">
              <w:t xml:space="preserve">Net increase per annum of 10 fostering households </w:t>
            </w:r>
          </w:p>
          <w:p w:rsidR="00A71032" w:rsidRPr="001F1DB9" w:rsidRDefault="00A71032" w:rsidP="00327AAA"/>
          <w:p w:rsidR="00A71032" w:rsidRPr="001F1DB9" w:rsidRDefault="00A71032" w:rsidP="00D87F62">
            <w:r w:rsidRPr="001F1DB9">
              <w:t>All foster carers have children in placement, unless there are specific reasons why this is not appropriate (100% occupancy rate)</w:t>
            </w:r>
          </w:p>
          <w:p w:rsidR="00A71032" w:rsidRPr="001F1DB9" w:rsidRDefault="00A71032" w:rsidP="00D87F62"/>
          <w:p w:rsidR="00A71032" w:rsidRPr="001F1DB9" w:rsidRDefault="00A71032" w:rsidP="00B941C3">
            <w:r w:rsidRPr="001F1DB9">
              <w:t>External placements budget is targeted at those children who have specialist needs that cannot be met in existing in house provision</w:t>
            </w:r>
          </w:p>
          <w:p w:rsidR="00A71032" w:rsidRPr="001F1DB9" w:rsidRDefault="00A71032" w:rsidP="00B941C3"/>
          <w:p w:rsidR="00A71032" w:rsidRPr="001F1DB9" w:rsidRDefault="00A71032" w:rsidP="00564FC9">
            <w:r w:rsidRPr="001F1DB9">
              <w:t>Minimum of  5 ‘foster to adopt’ placements per year</w:t>
            </w:r>
          </w:p>
          <w:p w:rsidR="00A71032" w:rsidRPr="001F1DB9" w:rsidRDefault="00A71032" w:rsidP="00564FC9"/>
          <w:p w:rsidR="00A71032" w:rsidRPr="001F1DB9" w:rsidRDefault="00A71032" w:rsidP="008C3533">
            <w:r w:rsidRPr="001F1DB9">
              <w:lastRenderedPageBreak/>
              <w:t>Embedded  coordination and protocols with YOS for remand of young people</w:t>
            </w:r>
          </w:p>
          <w:p w:rsidR="00A71032" w:rsidRPr="001F1DB9" w:rsidRDefault="00A71032" w:rsidP="00564FC9">
            <w:pPr>
              <w:rPr>
                <w:u w:val="single"/>
              </w:rPr>
            </w:pPr>
          </w:p>
        </w:tc>
        <w:tc>
          <w:tcPr>
            <w:tcW w:w="1139" w:type="pct"/>
          </w:tcPr>
          <w:p w:rsidR="00A71032" w:rsidRPr="00E6767F" w:rsidRDefault="00A71032" w:rsidP="00327AAA">
            <w:pPr>
              <w:rPr>
                <w:u w:val="single"/>
              </w:rPr>
            </w:pPr>
          </w:p>
          <w:p w:rsidR="00A71032" w:rsidRPr="00E6767F" w:rsidRDefault="00A71032" w:rsidP="00327AAA">
            <w:r w:rsidRPr="00E6767F">
              <w:t xml:space="preserve">Ofsted inspection outcomes </w:t>
            </w:r>
          </w:p>
          <w:p w:rsidR="00A71032" w:rsidRPr="00E6767F" w:rsidRDefault="00A71032" w:rsidP="00327AAA"/>
          <w:p w:rsidR="00A71032" w:rsidRPr="00E6767F" w:rsidRDefault="00A71032" w:rsidP="00327AAA">
            <w:r w:rsidRPr="00E6767F">
              <w:t>Attainment at key stages in education</w:t>
            </w:r>
          </w:p>
          <w:p w:rsidR="00A71032" w:rsidRPr="00E6767F" w:rsidRDefault="00A71032" w:rsidP="00327AAA"/>
          <w:p w:rsidR="00A71032" w:rsidRPr="00E6767F" w:rsidRDefault="00A71032" w:rsidP="00327AAA">
            <w:r w:rsidRPr="00E6767F">
              <w:t>SDQ scores NI 58</w:t>
            </w:r>
          </w:p>
          <w:p w:rsidR="00A71032" w:rsidRPr="00E6767F" w:rsidRDefault="00A71032" w:rsidP="00327AAA"/>
          <w:p w:rsidR="00A71032" w:rsidRPr="00E6767F" w:rsidRDefault="00A71032" w:rsidP="00327AAA">
            <w:r w:rsidRPr="00E6767F">
              <w:t>Placement stability</w:t>
            </w:r>
            <w:r>
              <w:t xml:space="preserve"> NI62</w:t>
            </w:r>
          </w:p>
          <w:p w:rsidR="00A71032" w:rsidRPr="00E6767F" w:rsidRDefault="00A71032" w:rsidP="00327AAA"/>
          <w:p w:rsidR="00A71032" w:rsidRDefault="00A71032" w:rsidP="00327AAA">
            <w:r w:rsidRPr="00E6767F">
              <w:t>3+ Placement moves</w:t>
            </w:r>
            <w:r>
              <w:t xml:space="preserve"> NI63</w:t>
            </w:r>
          </w:p>
          <w:p w:rsidR="00A71032" w:rsidRPr="00E6767F" w:rsidRDefault="00A71032" w:rsidP="00327AAA"/>
          <w:p w:rsidR="00A71032" w:rsidRPr="00E6767F" w:rsidRDefault="00A71032" w:rsidP="00327AAA">
            <w:r w:rsidRPr="00E6767F">
              <w:t>Care leavers in suitable accommodation.</w:t>
            </w:r>
          </w:p>
          <w:p w:rsidR="00A71032" w:rsidRPr="00E6767F" w:rsidRDefault="00A71032" w:rsidP="00327AAA"/>
          <w:p w:rsidR="00A71032" w:rsidRDefault="00A71032" w:rsidP="00327AAA">
            <w:r w:rsidRPr="00E6767F">
              <w:t xml:space="preserve">Service user feedback </w:t>
            </w:r>
          </w:p>
          <w:p w:rsidR="00A71032" w:rsidRDefault="00A71032" w:rsidP="00327AAA"/>
          <w:p w:rsidR="00A71032" w:rsidRDefault="00A71032" w:rsidP="00327AAA">
            <w:r w:rsidRPr="00B941C3">
              <w:t>Monitor increases in total foster carer population (increase 10 p.a.) to 280 by 2017</w:t>
            </w:r>
          </w:p>
          <w:p w:rsidR="00A71032" w:rsidRDefault="00A71032" w:rsidP="00327AAA"/>
          <w:p w:rsidR="00A71032" w:rsidRDefault="00A71032" w:rsidP="00327AAA">
            <w:r>
              <w:t xml:space="preserve">Occupancy rates </w:t>
            </w:r>
          </w:p>
          <w:p w:rsidR="00A71032" w:rsidRDefault="00A71032" w:rsidP="00327AAA"/>
          <w:p w:rsidR="00A71032" w:rsidRDefault="00A71032" w:rsidP="00327AAA">
            <w:r>
              <w:t>CIPFA data</w:t>
            </w:r>
          </w:p>
          <w:p w:rsidR="00A71032" w:rsidRDefault="00A71032" w:rsidP="00327AAA"/>
          <w:p w:rsidR="00A71032" w:rsidRPr="00E6767F" w:rsidRDefault="00A71032" w:rsidP="00327AAA">
            <w:r>
              <w:t>Adoption scorecard</w:t>
            </w:r>
          </w:p>
          <w:p w:rsidR="00A71032" w:rsidRPr="00E6767F" w:rsidRDefault="00A71032" w:rsidP="00327AAA">
            <w:r w:rsidRPr="00E6767F">
              <w:t xml:space="preserve"> </w:t>
            </w:r>
          </w:p>
        </w:tc>
        <w:tc>
          <w:tcPr>
            <w:tcW w:w="307" w:type="pct"/>
          </w:tcPr>
          <w:p w:rsidR="00A71032" w:rsidRPr="00E6767F" w:rsidRDefault="00A71032" w:rsidP="00327AAA"/>
          <w:p w:rsidR="00A71032" w:rsidRPr="00E6767F" w:rsidRDefault="00A71032" w:rsidP="00327AAA">
            <w:r w:rsidRPr="00E6767F">
              <w:t>Head of Service, LAC</w:t>
            </w:r>
          </w:p>
          <w:p w:rsidR="00A71032" w:rsidRPr="00E6767F" w:rsidRDefault="00A71032" w:rsidP="00327AAA"/>
          <w:p w:rsidR="00A71032" w:rsidRPr="00E6767F" w:rsidRDefault="00A71032" w:rsidP="00327AAA">
            <w:r w:rsidRPr="00E6767F">
              <w:t>Virtual Head Teacher</w:t>
            </w:r>
          </w:p>
          <w:p w:rsidR="00A71032" w:rsidRPr="00E6767F" w:rsidRDefault="00A71032" w:rsidP="00327AAA"/>
          <w:p w:rsidR="00A71032" w:rsidRPr="00E6767F" w:rsidRDefault="00A71032" w:rsidP="00327AAA"/>
          <w:p w:rsidR="00A71032" w:rsidRPr="00E6767F" w:rsidRDefault="00A71032" w:rsidP="00327AAA"/>
        </w:tc>
        <w:tc>
          <w:tcPr>
            <w:tcW w:w="767" w:type="pct"/>
          </w:tcPr>
          <w:p w:rsidR="00A71032" w:rsidRPr="001F1DB9" w:rsidRDefault="00A71032" w:rsidP="00327AAA"/>
          <w:p w:rsidR="00A71032" w:rsidRPr="001F1DB9" w:rsidRDefault="00A71032" w:rsidP="00327AAA">
            <w:r w:rsidRPr="001F1DB9">
              <w:t>Recruitment campaigns take place regularly</w:t>
            </w:r>
          </w:p>
          <w:p w:rsidR="00A71032" w:rsidRPr="001F1DB9" w:rsidRDefault="00A71032" w:rsidP="00327AAA"/>
          <w:p w:rsidR="00A71032" w:rsidRPr="001F1DB9" w:rsidRDefault="00A71032" w:rsidP="00327AAA">
            <w:r w:rsidRPr="001F1DB9">
              <w:lastRenderedPageBreak/>
              <w:t>Improvement required in numbers of assessments that result in approvals</w:t>
            </w:r>
          </w:p>
          <w:p w:rsidR="00A71032" w:rsidRPr="001F1DB9" w:rsidRDefault="00A71032" w:rsidP="00327AAA"/>
          <w:p w:rsidR="00A71032" w:rsidRPr="001F1DB9" w:rsidRDefault="00A71032" w:rsidP="006A1852">
            <w:r w:rsidRPr="001F1DB9">
              <w:t>Revised regional commissioning framework being considered. Leicester City to consider whether this will improve efficiencies.</w:t>
            </w:r>
          </w:p>
          <w:p w:rsidR="00A71032" w:rsidRPr="001F1DB9" w:rsidRDefault="00A71032" w:rsidP="006A1852"/>
          <w:p w:rsidR="00A71032" w:rsidRPr="001F1DB9" w:rsidRDefault="00A71032" w:rsidP="006A1852">
            <w:r w:rsidRPr="001F1DB9">
              <w:t>Review of 3 + placement moves due in March 2014.</w:t>
            </w:r>
          </w:p>
        </w:tc>
        <w:tc>
          <w:tcPr>
            <w:tcW w:w="716" w:type="pct"/>
          </w:tcPr>
          <w:p w:rsidR="00A71032" w:rsidRPr="001F1DB9" w:rsidRDefault="00A71032" w:rsidP="00327AAA"/>
          <w:p w:rsidR="00A71032" w:rsidRPr="001F1DB9" w:rsidRDefault="00A71032" w:rsidP="006A1852">
            <w:r w:rsidRPr="001F1DB9">
              <w:t xml:space="preserve">By end of March 2015, with incremental actions during that time </w:t>
            </w:r>
            <w:r w:rsidRPr="001F1DB9">
              <w:lastRenderedPageBreak/>
              <w:t>frame</w:t>
            </w:r>
          </w:p>
        </w:tc>
      </w:tr>
    </w:tbl>
    <w:p w:rsidR="00067D9E" w:rsidRDefault="00067D9E" w:rsidP="0014780B">
      <w:pPr>
        <w:rPr>
          <w:u w:val="single"/>
        </w:rPr>
      </w:pPr>
    </w:p>
    <w:p w:rsidR="0014780B" w:rsidRPr="00067D9E" w:rsidRDefault="00067D9E" w:rsidP="0014780B">
      <w:pPr>
        <w:rPr>
          <w:b/>
          <w:sz w:val="24"/>
          <w:u w:val="single"/>
        </w:rPr>
      </w:pPr>
      <w:r>
        <w:rPr>
          <w:b/>
          <w:sz w:val="24"/>
          <w:u w:val="single"/>
        </w:rPr>
        <w:t>Commissioning Priority 3</w:t>
      </w:r>
    </w:p>
    <w:p w:rsidR="0014780B" w:rsidRPr="00067D9E" w:rsidRDefault="0014780B" w:rsidP="0014780B">
      <w:pPr>
        <w:rPr>
          <w:sz w:val="28"/>
        </w:rPr>
      </w:pPr>
      <w:r w:rsidRPr="00067D9E">
        <w:rPr>
          <w:sz w:val="28"/>
        </w:rPr>
        <w:t>To meet the needs of severely disabled children, including those with mental health needs.</w:t>
      </w:r>
    </w:p>
    <w:tbl>
      <w:tblPr>
        <w:tblStyle w:val="TableGrid"/>
        <w:tblW w:w="4889" w:type="pct"/>
        <w:tblLook w:val="04A0" w:firstRow="1" w:lastRow="0" w:firstColumn="1" w:lastColumn="0" w:noHBand="0" w:noVBand="1"/>
      </w:tblPr>
      <w:tblGrid>
        <w:gridCol w:w="4113"/>
        <w:gridCol w:w="2411"/>
        <w:gridCol w:w="3224"/>
        <w:gridCol w:w="2126"/>
        <w:gridCol w:w="1985"/>
      </w:tblGrid>
      <w:tr w:rsidR="00A71032" w:rsidTr="00067D9E">
        <w:tc>
          <w:tcPr>
            <w:tcW w:w="1484" w:type="pct"/>
            <w:shd w:val="clear" w:color="auto" w:fill="92CDDC" w:themeFill="accent5" w:themeFillTint="99"/>
          </w:tcPr>
          <w:p w:rsidR="00A71032" w:rsidRPr="00110DC9" w:rsidRDefault="00A71032" w:rsidP="00327AAA">
            <w:pPr>
              <w:rPr>
                <w:b/>
              </w:rPr>
            </w:pPr>
          </w:p>
          <w:p w:rsidR="00A71032" w:rsidRPr="00110DC9" w:rsidRDefault="00A71032" w:rsidP="00327AAA">
            <w:pPr>
              <w:rPr>
                <w:b/>
              </w:rPr>
            </w:pPr>
            <w:r w:rsidRPr="00110DC9">
              <w:rPr>
                <w:b/>
              </w:rPr>
              <w:t>How</w:t>
            </w:r>
          </w:p>
        </w:tc>
        <w:tc>
          <w:tcPr>
            <w:tcW w:w="870" w:type="pct"/>
            <w:shd w:val="clear" w:color="auto" w:fill="92CDDC" w:themeFill="accent5" w:themeFillTint="99"/>
          </w:tcPr>
          <w:p w:rsidR="00A71032" w:rsidRDefault="00A71032" w:rsidP="00327AAA"/>
          <w:p w:rsidR="00A71032" w:rsidRPr="00110DC9" w:rsidRDefault="00A71032" w:rsidP="00327AAA">
            <w:pPr>
              <w:rPr>
                <w:b/>
              </w:rPr>
            </w:pPr>
            <w:r w:rsidRPr="00110DC9">
              <w:rPr>
                <w:b/>
              </w:rPr>
              <w:t>Outcome</w:t>
            </w:r>
          </w:p>
        </w:tc>
        <w:tc>
          <w:tcPr>
            <w:tcW w:w="1163" w:type="pct"/>
            <w:shd w:val="clear" w:color="auto" w:fill="92CDDC" w:themeFill="accent5" w:themeFillTint="99"/>
          </w:tcPr>
          <w:p w:rsidR="00A71032" w:rsidRDefault="00A71032" w:rsidP="00327AAA"/>
          <w:p w:rsidR="00A71032" w:rsidRPr="00110DC9" w:rsidRDefault="00A71032" w:rsidP="00327AAA">
            <w:pPr>
              <w:rPr>
                <w:b/>
              </w:rPr>
            </w:pPr>
            <w:r w:rsidRPr="00110DC9">
              <w:rPr>
                <w:b/>
              </w:rPr>
              <w:t>Performance measures</w:t>
            </w:r>
          </w:p>
        </w:tc>
        <w:tc>
          <w:tcPr>
            <w:tcW w:w="767" w:type="pct"/>
            <w:shd w:val="clear" w:color="auto" w:fill="92CDDC" w:themeFill="accent5" w:themeFillTint="99"/>
          </w:tcPr>
          <w:p w:rsidR="00A71032" w:rsidRDefault="00A71032" w:rsidP="00327AAA"/>
          <w:p w:rsidR="00A71032" w:rsidRPr="00AD42CB" w:rsidRDefault="00A71032" w:rsidP="00327AAA">
            <w:pPr>
              <w:rPr>
                <w:b/>
              </w:rPr>
            </w:pPr>
            <w:r w:rsidRPr="00AD42CB">
              <w:rPr>
                <w:b/>
              </w:rPr>
              <w:t>Lead</w:t>
            </w:r>
          </w:p>
        </w:tc>
        <w:tc>
          <w:tcPr>
            <w:tcW w:w="716" w:type="pct"/>
            <w:shd w:val="clear" w:color="auto" w:fill="92CDDC" w:themeFill="accent5" w:themeFillTint="99"/>
          </w:tcPr>
          <w:p w:rsidR="00A71032" w:rsidRPr="006A1852" w:rsidRDefault="00A71032" w:rsidP="00327AAA">
            <w:pPr>
              <w:rPr>
                <w:b/>
              </w:rPr>
            </w:pPr>
          </w:p>
          <w:p w:rsidR="00A71032" w:rsidRPr="006A1852" w:rsidRDefault="00A71032" w:rsidP="00327AAA">
            <w:pPr>
              <w:rPr>
                <w:b/>
              </w:rPr>
            </w:pPr>
            <w:r w:rsidRPr="006A1852">
              <w:rPr>
                <w:b/>
              </w:rPr>
              <w:t>Progress</w:t>
            </w:r>
          </w:p>
        </w:tc>
      </w:tr>
      <w:tr w:rsidR="00A71032" w:rsidTr="00067D9E">
        <w:tc>
          <w:tcPr>
            <w:tcW w:w="1484" w:type="pct"/>
          </w:tcPr>
          <w:p w:rsidR="00A71032" w:rsidRDefault="00A71032" w:rsidP="00327AAA"/>
          <w:p w:rsidR="00A71032" w:rsidRDefault="00A61D51" w:rsidP="00327AAA">
            <w:r>
              <w:t>Targeted</w:t>
            </w:r>
            <w:r w:rsidR="00A71032">
              <w:t xml:space="preserve"> recruitment  </w:t>
            </w:r>
          </w:p>
          <w:p w:rsidR="00A71032" w:rsidRDefault="00A71032" w:rsidP="00327AAA"/>
          <w:p w:rsidR="00A71032" w:rsidRDefault="00A71032" w:rsidP="00327AAA">
            <w:r>
              <w:t xml:space="preserve">Family support services identify and meet </w:t>
            </w:r>
            <w:r>
              <w:lastRenderedPageBreak/>
              <w:t>needs of children to maintain children in their homes</w:t>
            </w:r>
          </w:p>
          <w:p w:rsidR="00A71032" w:rsidRDefault="00A71032" w:rsidP="00327AAA"/>
          <w:p w:rsidR="00A71032" w:rsidRDefault="00A71032" w:rsidP="00327AAA">
            <w:r>
              <w:t>Short breaks provided by skilled and high quality carers who can meet complex needs</w:t>
            </w:r>
          </w:p>
          <w:p w:rsidR="00A71032" w:rsidRDefault="00A71032" w:rsidP="00327AAA"/>
          <w:p w:rsidR="00A71032" w:rsidRDefault="00A71032" w:rsidP="00327AAA">
            <w:r>
              <w:t xml:space="preserve">A range of placements available in house, including long term foster care and residential provision  </w:t>
            </w:r>
          </w:p>
          <w:p w:rsidR="00A71032" w:rsidRDefault="00A71032" w:rsidP="00327AAA"/>
          <w:p w:rsidR="00A71032" w:rsidRDefault="00A71032" w:rsidP="00327AAA">
            <w:r>
              <w:t>Joint placements commissioned when the needs of the child cannot be met in local or existing provision.</w:t>
            </w:r>
          </w:p>
          <w:p w:rsidR="00A71032" w:rsidRDefault="00A71032" w:rsidP="00327AAA"/>
          <w:p w:rsidR="00A71032" w:rsidRDefault="00A71032" w:rsidP="00327AAA">
            <w:r w:rsidRPr="0051076B">
              <w:t>Needs analysis in respect of autistic te</w:t>
            </w:r>
            <w:r>
              <w:t>e</w:t>
            </w:r>
            <w:r w:rsidRPr="0051076B">
              <w:t>nage</w:t>
            </w:r>
            <w:r>
              <w:t xml:space="preserve"> boys</w:t>
            </w:r>
            <w:r w:rsidRPr="0051076B">
              <w:t xml:space="preserve"> and girls with extreme self-harm behaviour</w:t>
            </w:r>
          </w:p>
          <w:p w:rsidR="00A71032" w:rsidRDefault="00A71032" w:rsidP="00327AAA"/>
          <w:p w:rsidR="00A71032" w:rsidRDefault="00A71032" w:rsidP="00564FC9">
            <w:r>
              <w:t>Ensure that the range of placement types is able to meet the demand for different types of placement.</w:t>
            </w:r>
            <w:r>
              <w:tab/>
            </w:r>
          </w:p>
          <w:p w:rsidR="00A71032" w:rsidRDefault="00A71032" w:rsidP="00564FC9"/>
          <w:p w:rsidR="00A71032" w:rsidRDefault="00A71032" w:rsidP="00564FC9">
            <w:r>
              <w:t>Child specific foster carer / adopter recruitment.</w:t>
            </w:r>
          </w:p>
          <w:p w:rsidR="00A71032" w:rsidRDefault="00A71032" w:rsidP="00564FC9"/>
          <w:p w:rsidR="00A71032" w:rsidRDefault="00A71032" w:rsidP="00564FC9">
            <w:r>
              <w:t xml:space="preserve">Create home adaptations budget to enable </w:t>
            </w:r>
            <w:r>
              <w:lastRenderedPageBreak/>
              <w:t>to be made to facilitate placement of disabled children, or bedroom partition.</w:t>
            </w:r>
          </w:p>
          <w:p w:rsidR="00A71032" w:rsidRDefault="00A71032" w:rsidP="00564FC9"/>
          <w:p w:rsidR="00A71032" w:rsidRDefault="00A71032" w:rsidP="00564FC9">
            <w:r>
              <w:t>BHH to provide training and support to foster carers of disabled children</w:t>
            </w:r>
          </w:p>
          <w:p w:rsidR="00A71032" w:rsidRDefault="00A71032" w:rsidP="00564FC9"/>
          <w:p w:rsidR="00A71032" w:rsidRDefault="00A71032" w:rsidP="00564FC9">
            <w:r>
              <w:t>BHH to engage with foster carer assessment to ensure specialist knowledge is available to fostering recruitment and assessment teams</w:t>
            </w:r>
          </w:p>
          <w:p w:rsidR="00A71032" w:rsidRDefault="00A71032" w:rsidP="00564FC9"/>
          <w:p w:rsidR="00A71032" w:rsidRDefault="00A71032" w:rsidP="00564FC9">
            <w:r>
              <w:t>Agree coordination and protocols with YOS concerning the placement on remand of young people</w:t>
            </w:r>
          </w:p>
          <w:p w:rsidR="00A71032" w:rsidRDefault="00A71032" w:rsidP="00564FC9">
            <w:r>
              <w:tab/>
            </w:r>
            <w:r>
              <w:tab/>
            </w:r>
            <w:r>
              <w:tab/>
            </w:r>
          </w:p>
          <w:p w:rsidR="00A71032" w:rsidRDefault="00A71032" w:rsidP="00564FC9">
            <w:r>
              <w:t> </w:t>
            </w:r>
          </w:p>
          <w:p w:rsidR="00A71032" w:rsidRPr="0051076B" w:rsidRDefault="00A71032" w:rsidP="00327AAA"/>
        </w:tc>
        <w:tc>
          <w:tcPr>
            <w:tcW w:w="870" w:type="pct"/>
          </w:tcPr>
          <w:p w:rsidR="00A71032" w:rsidRPr="00D459AB" w:rsidRDefault="00A71032" w:rsidP="00327AAA">
            <w:r w:rsidRPr="00D459AB">
              <w:lastRenderedPageBreak/>
              <w:t>Greater take up of short breaks resulting in less young people in full time placements</w:t>
            </w:r>
          </w:p>
          <w:p w:rsidR="00A71032" w:rsidRPr="00D459AB" w:rsidRDefault="00A71032" w:rsidP="00327AAA"/>
          <w:p w:rsidR="00A71032" w:rsidRPr="00D459AB" w:rsidRDefault="00A71032" w:rsidP="00327AAA">
            <w:r w:rsidRPr="00D459AB">
              <w:t>Fewer young people placed outside of the local authority</w:t>
            </w:r>
          </w:p>
          <w:p w:rsidR="00A71032" w:rsidRPr="00D459AB" w:rsidRDefault="00A71032" w:rsidP="00327AAA">
            <w:pPr>
              <w:pStyle w:val="ListParagraph"/>
              <w:ind w:left="0"/>
            </w:pPr>
          </w:p>
          <w:p w:rsidR="00A71032" w:rsidRDefault="00A71032" w:rsidP="00327AAA">
            <w:r w:rsidRPr="00D459AB">
              <w:t>Reduction in social care sole funding of placements for disabled children.</w:t>
            </w:r>
          </w:p>
          <w:p w:rsidR="00A71032" w:rsidRDefault="00A71032" w:rsidP="00327AAA"/>
          <w:p w:rsidR="00A71032" w:rsidRDefault="00A71032" w:rsidP="00327AAA">
            <w:pPr>
              <w:rPr>
                <w:u w:val="single"/>
              </w:rPr>
            </w:pPr>
            <w:r>
              <w:t xml:space="preserve">Joint commissioning or pooled budgets available in some circumstances where the assessed need and/ or risks are very complex. </w:t>
            </w:r>
          </w:p>
        </w:tc>
        <w:tc>
          <w:tcPr>
            <w:tcW w:w="1163" w:type="pct"/>
          </w:tcPr>
          <w:p w:rsidR="00A71032" w:rsidRPr="00D459AB" w:rsidRDefault="00A71032" w:rsidP="00E806E0">
            <w:r w:rsidRPr="00D459AB">
              <w:lastRenderedPageBreak/>
              <w:t>Corporate parenting forum reports</w:t>
            </w:r>
          </w:p>
          <w:p w:rsidR="00A71032" w:rsidRPr="00D459AB" w:rsidRDefault="00A71032" w:rsidP="00E806E0">
            <w:pPr>
              <w:pStyle w:val="ListParagraph"/>
              <w:ind w:left="0"/>
            </w:pPr>
          </w:p>
          <w:p w:rsidR="00A71032" w:rsidRPr="00D459AB" w:rsidRDefault="00A71032" w:rsidP="00E806E0">
            <w:r w:rsidRPr="00D459AB">
              <w:t xml:space="preserve">CICC and Pledge review </w:t>
            </w:r>
          </w:p>
          <w:p w:rsidR="00A71032" w:rsidRPr="00D459AB" w:rsidRDefault="00A71032" w:rsidP="00E806E0">
            <w:pPr>
              <w:pStyle w:val="ListParagraph"/>
              <w:ind w:left="0"/>
            </w:pPr>
          </w:p>
          <w:p w:rsidR="00A71032" w:rsidRPr="00D459AB" w:rsidRDefault="00A71032" w:rsidP="00E806E0">
            <w:r w:rsidRPr="00D459AB">
              <w:t>Short breaks referral service</w:t>
            </w:r>
          </w:p>
          <w:p w:rsidR="00A71032" w:rsidRPr="00D459AB" w:rsidRDefault="00A71032" w:rsidP="00E806E0"/>
          <w:p w:rsidR="00A71032" w:rsidRPr="00D459AB" w:rsidRDefault="00A71032" w:rsidP="00E806E0">
            <w:r w:rsidRPr="00D459AB">
              <w:t>Fostering panel</w:t>
            </w:r>
            <w:r>
              <w:t xml:space="preserve"> approvals</w:t>
            </w:r>
          </w:p>
          <w:p w:rsidR="00A71032" w:rsidRPr="00D459AB" w:rsidRDefault="00A71032" w:rsidP="00E806E0">
            <w:pPr>
              <w:pStyle w:val="ListParagraph"/>
              <w:ind w:left="0"/>
            </w:pPr>
          </w:p>
          <w:p w:rsidR="00A71032" w:rsidRPr="00D459AB" w:rsidRDefault="00A71032" w:rsidP="00E806E0">
            <w:r w:rsidRPr="00D459AB">
              <w:t>Placement decision group/Joint solution forum</w:t>
            </w:r>
          </w:p>
          <w:p w:rsidR="00A71032" w:rsidRPr="00D459AB" w:rsidRDefault="00A71032" w:rsidP="00E806E0">
            <w:pPr>
              <w:pStyle w:val="ListParagraph"/>
              <w:ind w:left="0"/>
            </w:pPr>
          </w:p>
          <w:p w:rsidR="00A71032" w:rsidRPr="00D459AB" w:rsidRDefault="00A71032" w:rsidP="00E806E0">
            <w:r w:rsidRPr="00D459AB">
              <w:t>LAC review</w:t>
            </w:r>
            <w:r>
              <w:t xml:space="preserve"> decisions </w:t>
            </w:r>
          </w:p>
          <w:p w:rsidR="00A71032" w:rsidRPr="00D459AB" w:rsidRDefault="00A71032" w:rsidP="00E806E0">
            <w:pPr>
              <w:pStyle w:val="ListParagraph"/>
              <w:ind w:left="0"/>
            </w:pPr>
          </w:p>
          <w:p w:rsidR="00A71032" w:rsidRDefault="00A71032" w:rsidP="00327AAA">
            <w:pPr>
              <w:rPr>
                <w:u w:val="single"/>
              </w:rPr>
            </w:pPr>
          </w:p>
        </w:tc>
        <w:tc>
          <w:tcPr>
            <w:tcW w:w="767" w:type="pct"/>
          </w:tcPr>
          <w:p w:rsidR="00A71032" w:rsidRPr="0051076B" w:rsidRDefault="00A71032" w:rsidP="00327AAA">
            <w:pPr>
              <w:rPr>
                <w:u w:val="single"/>
              </w:rPr>
            </w:pPr>
          </w:p>
          <w:p w:rsidR="00A71032" w:rsidRPr="0051076B" w:rsidRDefault="00A71032" w:rsidP="00327AAA">
            <w:pPr>
              <w:rPr>
                <w:u w:val="single"/>
              </w:rPr>
            </w:pPr>
            <w:r w:rsidRPr="0051076B">
              <w:t xml:space="preserve">Head of Service, LAC </w:t>
            </w:r>
          </w:p>
        </w:tc>
        <w:tc>
          <w:tcPr>
            <w:tcW w:w="716" w:type="pct"/>
          </w:tcPr>
          <w:p w:rsidR="00A71032" w:rsidRPr="006A1852" w:rsidRDefault="00A71032" w:rsidP="00327AAA"/>
          <w:p w:rsidR="00A71032" w:rsidRDefault="00A71032" w:rsidP="006A1852">
            <w:r w:rsidRPr="006A1852">
              <w:t>Short breaks are provided for children under S17</w:t>
            </w:r>
          </w:p>
          <w:p w:rsidR="00A71032" w:rsidRDefault="00A71032" w:rsidP="006A1852"/>
          <w:p w:rsidR="00A71032" w:rsidRDefault="00A71032" w:rsidP="006A1852">
            <w:r>
              <w:t>Health and education fund a small number of complex cases</w:t>
            </w:r>
          </w:p>
          <w:p w:rsidR="00A71032" w:rsidRDefault="00A71032" w:rsidP="006A1852"/>
          <w:p w:rsidR="00A71032" w:rsidRDefault="00A71032" w:rsidP="006A1852">
            <w:r>
              <w:t>PDG process may  be incorporated into care planning panel</w:t>
            </w:r>
          </w:p>
          <w:p w:rsidR="00A71032" w:rsidRDefault="00A71032" w:rsidP="006A1852"/>
          <w:p w:rsidR="00A71032" w:rsidRDefault="00A71032" w:rsidP="006A1852">
            <w:r>
              <w:t>JSF meeting regularly to review and agree funding arrangements</w:t>
            </w:r>
          </w:p>
          <w:p w:rsidR="00A71032" w:rsidRDefault="00A71032" w:rsidP="006A1852"/>
          <w:p w:rsidR="00A71032" w:rsidRDefault="00A71032" w:rsidP="006A1852">
            <w:r>
              <w:t>CAMHS Commissioning and Performance Group to undertake work on high need groups</w:t>
            </w:r>
          </w:p>
          <w:p w:rsidR="00A71032" w:rsidRPr="006A1852" w:rsidRDefault="00A71032" w:rsidP="006A1852">
            <w:r>
              <w:t xml:space="preserve">  </w:t>
            </w:r>
          </w:p>
        </w:tc>
      </w:tr>
    </w:tbl>
    <w:p w:rsidR="0014780B" w:rsidRDefault="0014780B" w:rsidP="0014780B">
      <w:pPr>
        <w:rPr>
          <w:u w:val="single"/>
        </w:rPr>
      </w:pPr>
    </w:p>
    <w:p w:rsidR="0014780B" w:rsidRPr="00067D9E" w:rsidRDefault="0014780B" w:rsidP="0014780B">
      <w:pPr>
        <w:rPr>
          <w:b/>
          <w:sz w:val="24"/>
          <w:u w:val="single"/>
        </w:rPr>
      </w:pPr>
      <w:r w:rsidRPr="00067D9E">
        <w:rPr>
          <w:b/>
          <w:sz w:val="24"/>
          <w:u w:val="single"/>
        </w:rPr>
        <w:t xml:space="preserve">Commissioning Priority 4 </w:t>
      </w:r>
    </w:p>
    <w:p w:rsidR="0014780B" w:rsidRDefault="00B76623" w:rsidP="0014780B">
      <w:pPr>
        <w:rPr>
          <w:color w:val="000000" w:themeColor="text1"/>
          <w:sz w:val="28"/>
        </w:rPr>
      </w:pPr>
      <w:r w:rsidRPr="00067D9E">
        <w:rPr>
          <w:color w:val="000000" w:themeColor="text1"/>
          <w:sz w:val="28"/>
        </w:rPr>
        <w:t>To scope and undertake a specific project to secure suitable accommodation for 16+ young people and care leavers</w:t>
      </w:r>
    </w:p>
    <w:p w:rsidR="003D1703" w:rsidRDefault="003D1703" w:rsidP="0014780B">
      <w:pPr>
        <w:rPr>
          <w:color w:val="000000" w:themeColor="text1"/>
          <w:sz w:val="28"/>
        </w:rPr>
      </w:pPr>
    </w:p>
    <w:p w:rsidR="003D1703" w:rsidRPr="00067D9E" w:rsidRDefault="003D1703" w:rsidP="0014780B">
      <w:pPr>
        <w:rPr>
          <w:color w:val="000000" w:themeColor="text1"/>
          <w:sz w:val="28"/>
        </w:rPr>
      </w:pPr>
    </w:p>
    <w:tbl>
      <w:tblPr>
        <w:tblStyle w:val="TableGrid"/>
        <w:tblW w:w="4889" w:type="pct"/>
        <w:tblLook w:val="04A0" w:firstRow="1" w:lastRow="0" w:firstColumn="1" w:lastColumn="0" w:noHBand="0" w:noVBand="1"/>
      </w:tblPr>
      <w:tblGrid>
        <w:gridCol w:w="2027"/>
        <w:gridCol w:w="2027"/>
        <w:gridCol w:w="3992"/>
        <w:gridCol w:w="1702"/>
        <w:gridCol w:w="2126"/>
        <w:gridCol w:w="1985"/>
      </w:tblGrid>
      <w:tr w:rsidR="00E806E0" w:rsidTr="00067D9E">
        <w:tc>
          <w:tcPr>
            <w:tcW w:w="73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3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40"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shd w:val="clear" w:color="auto" w:fill="92CDDC" w:themeFill="accent5" w:themeFillTint="99"/>
          </w:tcPr>
          <w:p w:rsidR="00E806E0" w:rsidRPr="006A1852" w:rsidRDefault="00E806E0" w:rsidP="00327AAA">
            <w:pPr>
              <w:rPr>
                <w:b/>
              </w:rPr>
            </w:pPr>
          </w:p>
          <w:p w:rsidR="00E806E0" w:rsidRPr="006A1852" w:rsidRDefault="00E806E0" w:rsidP="00327AAA">
            <w:pPr>
              <w:rPr>
                <w:b/>
              </w:rPr>
            </w:pPr>
            <w:r w:rsidRPr="006A1852">
              <w:rPr>
                <w:b/>
              </w:rPr>
              <w:t xml:space="preserve">Progress </w:t>
            </w:r>
          </w:p>
        </w:tc>
      </w:tr>
      <w:tr w:rsidR="00E806E0" w:rsidTr="00067D9E">
        <w:tc>
          <w:tcPr>
            <w:tcW w:w="731" w:type="pct"/>
          </w:tcPr>
          <w:p w:rsidR="00E806E0" w:rsidRDefault="00E806E0" w:rsidP="00327AAA">
            <w:pPr>
              <w:rPr>
                <w:u w:val="single"/>
              </w:rPr>
            </w:pPr>
          </w:p>
          <w:p w:rsidR="00E806E0" w:rsidRDefault="00E806E0" w:rsidP="00327AAA">
            <w:pPr>
              <w:rPr>
                <w:u w:val="single"/>
              </w:rPr>
            </w:pPr>
          </w:p>
        </w:tc>
        <w:tc>
          <w:tcPr>
            <w:tcW w:w="731" w:type="pct"/>
          </w:tcPr>
          <w:p w:rsidR="00E806E0" w:rsidRDefault="00E806E0" w:rsidP="00327AAA">
            <w:pPr>
              <w:rPr>
                <w:u w:val="single"/>
              </w:rPr>
            </w:pPr>
          </w:p>
          <w:p w:rsidR="00E806E0" w:rsidRDefault="00E806E0" w:rsidP="00327AAA">
            <w:r w:rsidRPr="002773F7">
              <w:t xml:space="preserve">Social workers, carers, children and IRO’s aware of Staying Put policy </w:t>
            </w:r>
          </w:p>
          <w:p w:rsidR="00E806E0" w:rsidRDefault="00E806E0" w:rsidP="00327AAA"/>
          <w:p w:rsidR="00E806E0" w:rsidRDefault="00E806E0" w:rsidP="00327AAA">
            <w:r>
              <w:t xml:space="preserve">Consider whether there are any gaps in service following the review of homeless services, and identify what may need to be commissioned  </w:t>
            </w:r>
          </w:p>
          <w:p w:rsidR="00E806E0" w:rsidRDefault="00E806E0" w:rsidP="00327AAA"/>
          <w:p w:rsidR="00E806E0" w:rsidRDefault="00E806E0" w:rsidP="00327AAA">
            <w:r>
              <w:t>Partnership work with colleagues through the Corporate Parenting Forum, Joint Solutions, and Adult social care</w:t>
            </w:r>
          </w:p>
          <w:p w:rsidR="00E806E0" w:rsidRDefault="00E806E0" w:rsidP="00327AAA"/>
          <w:p w:rsidR="00E806E0" w:rsidRDefault="00E806E0" w:rsidP="00327AAA">
            <w:r>
              <w:t xml:space="preserve">Implement the </w:t>
            </w:r>
            <w:r>
              <w:lastRenderedPageBreak/>
              <w:t xml:space="preserve">Leaving care Strategy </w:t>
            </w:r>
          </w:p>
          <w:p w:rsidR="00E806E0" w:rsidRDefault="00E806E0" w:rsidP="00327AAA"/>
          <w:p w:rsidR="00E806E0" w:rsidRPr="002773F7" w:rsidRDefault="00E806E0" w:rsidP="00D353AA">
            <w:r>
              <w:t xml:space="preserve">Bench mark current provision against Ofsted grade descriptors </w:t>
            </w:r>
          </w:p>
        </w:tc>
        <w:tc>
          <w:tcPr>
            <w:tcW w:w="1440" w:type="pct"/>
          </w:tcPr>
          <w:p w:rsidR="00E806E0" w:rsidRDefault="00E806E0" w:rsidP="00327AAA">
            <w:pPr>
              <w:rPr>
                <w:u w:val="single"/>
              </w:rPr>
            </w:pPr>
          </w:p>
          <w:p w:rsidR="00E806E0" w:rsidRDefault="00E806E0" w:rsidP="00327AAA">
            <w:r w:rsidRPr="002773F7">
              <w:t>Accommodation that meets the ne</w:t>
            </w:r>
            <w:r>
              <w:t xml:space="preserve">eds </w:t>
            </w:r>
            <w:r w:rsidRPr="002773F7">
              <w:t xml:space="preserve">of this group, and results in improved outcomes </w:t>
            </w:r>
            <w:r>
              <w:t xml:space="preserve">in education, training and employment, health, substance misuse, teenage pregnancy </w:t>
            </w:r>
          </w:p>
          <w:p w:rsidR="00E806E0" w:rsidRDefault="00E806E0" w:rsidP="00327AAA"/>
          <w:p w:rsidR="00E806E0" w:rsidRDefault="00E806E0" w:rsidP="00327AAA">
            <w:r>
              <w:t>Young people have a choice of provision tailored to their need</w:t>
            </w:r>
          </w:p>
          <w:p w:rsidR="00E806E0" w:rsidRDefault="00E806E0" w:rsidP="00327AAA"/>
          <w:p w:rsidR="00E806E0" w:rsidRPr="002773F7" w:rsidRDefault="00E806E0" w:rsidP="00327AAA">
            <w:r>
              <w:t xml:space="preserve">Children aged 16+ who are assessed as at risk of harm are safeguarded </w:t>
            </w:r>
          </w:p>
        </w:tc>
        <w:tc>
          <w:tcPr>
            <w:tcW w:w="614" w:type="pct"/>
          </w:tcPr>
          <w:p w:rsidR="00E806E0" w:rsidRDefault="00E806E0" w:rsidP="00327AAA">
            <w:pPr>
              <w:rPr>
                <w:u w:val="single"/>
              </w:rPr>
            </w:pPr>
          </w:p>
          <w:p w:rsidR="00E806E0" w:rsidRDefault="00E806E0" w:rsidP="00327AAA">
            <w:r w:rsidRPr="00B611C4">
              <w:t>Numbers in suitable accommodation</w:t>
            </w:r>
          </w:p>
          <w:p w:rsidR="00E806E0" w:rsidRDefault="00E806E0" w:rsidP="00327AAA"/>
          <w:p w:rsidR="00E806E0" w:rsidRDefault="00E806E0" w:rsidP="00327AAA">
            <w:r>
              <w:t>Numbers in education, employment or training</w:t>
            </w:r>
          </w:p>
          <w:p w:rsidR="00E806E0" w:rsidRDefault="00E806E0" w:rsidP="00327AAA"/>
          <w:p w:rsidR="00E806E0" w:rsidRDefault="00E806E0" w:rsidP="00327AAA">
            <w:r>
              <w:t>Numbers who remain in placements under Staying Put policy</w:t>
            </w:r>
          </w:p>
          <w:p w:rsidR="00E806E0" w:rsidRDefault="00E806E0" w:rsidP="00327AAA"/>
          <w:p w:rsidR="00E806E0" w:rsidRPr="00B611C4" w:rsidRDefault="00E806E0" w:rsidP="00327AAA">
            <w:r>
              <w:t xml:space="preserve">Inspection outcomes </w:t>
            </w:r>
          </w:p>
        </w:tc>
        <w:tc>
          <w:tcPr>
            <w:tcW w:w="767" w:type="pct"/>
          </w:tcPr>
          <w:p w:rsidR="00E806E0" w:rsidRDefault="00E806E0" w:rsidP="00327AAA">
            <w:pPr>
              <w:rPr>
                <w:u w:val="single"/>
              </w:rPr>
            </w:pPr>
          </w:p>
          <w:p w:rsidR="00E806E0" w:rsidRDefault="00E806E0" w:rsidP="00327AAA">
            <w:pPr>
              <w:rPr>
                <w:u w:val="single"/>
              </w:rPr>
            </w:pPr>
            <w:r w:rsidRPr="0051076B">
              <w:t>Head of Service, LAC</w:t>
            </w:r>
          </w:p>
        </w:tc>
        <w:tc>
          <w:tcPr>
            <w:tcW w:w="716" w:type="pct"/>
          </w:tcPr>
          <w:p w:rsidR="00E806E0" w:rsidRPr="007E7B2F" w:rsidRDefault="00E806E0" w:rsidP="00327AAA"/>
          <w:p w:rsidR="00E806E0" w:rsidRDefault="00E806E0" w:rsidP="00327AAA">
            <w:r w:rsidRPr="007E7B2F">
              <w:t>Staying Put policy in place, needs embedding into practice</w:t>
            </w:r>
          </w:p>
          <w:p w:rsidR="00E806E0" w:rsidRDefault="00E806E0" w:rsidP="00327AAA"/>
          <w:p w:rsidR="00E806E0" w:rsidRDefault="00E806E0" w:rsidP="00327AAA">
            <w:r>
              <w:t>Revised regional commissioning framework being considered. Leicester City to consider whether this will improve efficiencies</w:t>
            </w:r>
          </w:p>
          <w:p w:rsidR="00E806E0" w:rsidRDefault="00E806E0" w:rsidP="00327AAA"/>
          <w:p w:rsidR="00E806E0" w:rsidRDefault="00E806E0" w:rsidP="00327AAA">
            <w:r>
              <w:t>Benchmarking exercise to take place urgently</w:t>
            </w:r>
          </w:p>
          <w:p w:rsidR="00E806E0" w:rsidRDefault="00E806E0" w:rsidP="00327AAA"/>
          <w:p w:rsidR="00E806E0" w:rsidRPr="001F1DB9" w:rsidRDefault="00E806E0" w:rsidP="00327AAA">
            <w:r w:rsidRPr="001F1DB9">
              <w:t>Project work to be completed in light of outcomes of the Homelessness Review</w:t>
            </w:r>
          </w:p>
          <w:p w:rsidR="00E806E0" w:rsidRPr="001F1DB9" w:rsidRDefault="00E806E0" w:rsidP="00327AAA"/>
          <w:p w:rsidR="00E806E0" w:rsidRPr="007E7B2F" w:rsidRDefault="00E806E0" w:rsidP="00327AAA"/>
        </w:tc>
      </w:tr>
    </w:tbl>
    <w:p w:rsidR="0014780B" w:rsidRDefault="0014780B" w:rsidP="0014780B">
      <w:pPr>
        <w:rPr>
          <w:u w:val="single"/>
        </w:rPr>
      </w:pPr>
    </w:p>
    <w:p w:rsidR="0014780B" w:rsidRPr="00067D9E" w:rsidRDefault="0014780B" w:rsidP="0014780B">
      <w:pPr>
        <w:rPr>
          <w:b/>
          <w:sz w:val="24"/>
          <w:u w:val="single"/>
        </w:rPr>
      </w:pPr>
      <w:r w:rsidRPr="00067D9E">
        <w:rPr>
          <w:b/>
          <w:sz w:val="24"/>
          <w:u w:val="single"/>
        </w:rPr>
        <w:t>Commissioning Priority 5</w:t>
      </w:r>
    </w:p>
    <w:p w:rsidR="0014780B" w:rsidRPr="00067D9E" w:rsidRDefault="0014780B" w:rsidP="0014780B">
      <w:pPr>
        <w:rPr>
          <w:sz w:val="28"/>
        </w:rPr>
      </w:pPr>
      <w:r w:rsidRPr="00067D9E">
        <w:rPr>
          <w:sz w:val="28"/>
        </w:rPr>
        <w:t xml:space="preserve">To ensure value for money across the board in placement provision within the allocated budget </w:t>
      </w:r>
    </w:p>
    <w:tbl>
      <w:tblPr>
        <w:tblStyle w:val="TableGrid"/>
        <w:tblW w:w="4889" w:type="pct"/>
        <w:tblLook w:val="04A0" w:firstRow="1" w:lastRow="0" w:firstColumn="1" w:lastColumn="0" w:noHBand="0" w:noVBand="1"/>
      </w:tblPr>
      <w:tblGrid>
        <w:gridCol w:w="1995"/>
        <w:gridCol w:w="2082"/>
        <w:gridCol w:w="3969"/>
        <w:gridCol w:w="1702"/>
        <w:gridCol w:w="2126"/>
        <w:gridCol w:w="1985"/>
      </w:tblGrid>
      <w:tr w:rsidR="00E806E0" w:rsidTr="00067D9E">
        <w:tc>
          <w:tcPr>
            <w:tcW w:w="720"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5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32"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shd w:val="clear" w:color="auto" w:fill="92CDDC" w:themeFill="accent5" w:themeFillTint="99"/>
          </w:tcPr>
          <w:p w:rsidR="00E806E0" w:rsidRPr="007E7B2F" w:rsidRDefault="00E806E0" w:rsidP="00327AAA">
            <w:pPr>
              <w:rPr>
                <w:b/>
              </w:rPr>
            </w:pPr>
          </w:p>
          <w:p w:rsidR="00E806E0" w:rsidRPr="007E7B2F" w:rsidRDefault="00E806E0" w:rsidP="00327AAA">
            <w:pPr>
              <w:rPr>
                <w:b/>
              </w:rPr>
            </w:pPr>
            <w:r w:rsidRPr="007E7B2F">
              <w:rPr>
                <w:b/>
              </w:rPr>
              <w:t>Progress</w:t>
            </w:r>
          </w:p>
        </w:tc>
      </w:tr>
      <w:tr w:rsidR="00E806E0" w:rsidTr="00067D9E">
        <w:tc>
          <w:tcPr>
            <w:tcW w:w="720" w:type="pct"/>
          </w:tcPr>
          <w:p w:rsidR="00E806E0" w:rsidRPr="002120C0" w:rsidRDefault="00E806E0" w:rsidP="00327AAA"/>
        </w:tc>
        <w:tc>
          <w:tcPr>
            <w:tcW w:w="751" w:type="pct"/>
          </w:tcPr>
          <w:p w:rsidR="00E806E0" w:rsidRPr="002120C0" w:rsidRDefault="00E806E0" w:rsidP="00327AAA">
            <w:r w:rsidRPr="002120C0">
              <w:t>Weekly budget tracking and analysis of</w:t>
            </w:r>
            <w:r>
              <w:rPr>
                <w:u w:val="single"/>
              </w:rPr>
              <w:t xml:space="preserve"> </w:t>
            </w:r>
            <w:r w:rsidRPr="002120C0">
              <w:t>external placements</w:t>
            </w:r>
            <w:r>
              <w:rPr>
                <w:u w:val="single"/>
              </w:rPr>
              <w:t xml:space="preserve"> </w:t>
            </w:r>
            <w:r w:rsidRPr="002120C0">
              <w:t>budget</w:t>
            </w:r>
          </w:p>
          <w:p w:rsidR="00E806E0" w:rsidRPr="002120C0" w:rsidRDefault="00E806E0" w:rsidP="00327AAA"/>
          <w:p w:rsidR="00E806E0" w:rsidRPr="002120C0" w:rsidRDefault="00E806E0" w:rsidP="00327AAA">
            <w:r w:rsidRPr="002120C0">
              <w:t xml:space="preserve">Weekly reports to senior managers on the external placements budget and commissioning activity </w:t>
            </w:r>
          </w:p>
          <w:p w:rsidR="00E806E0" w:rsidRPr="002120C0" w:rsidRDefault="00E806E0" w:rsidP="00327AAA"/>
          <w:p w:rsidR="00E806E0" w:rsidRDefault="00E806E0" w:rsidP="00327AAA">
            <w:r>
              <w:t>R</w:t>
            </w:r>
            <w:r w:rsidRPr="002120C0">
              <w:t>egional initiat</w:t>
            </w:r>
            <w:r>
              <w:t>i</w:t>
            </w:r>
            <w:r w:rsidRPr="002120C0">
              <w:t xml:space="preserve">ves </w:t>
            </w:r>
          </w:p>
          <w:p w:rsidR="00E806E0" w:rsidRDefault="00E806E0" w:rsidP="00327AAA"/>
          <w:p w:rsidR="00E806E0" w:rsidRDefault="00E806E0" w:rsidP="00327AAA">
            <w:r>
              <w:t xml:space="preserve">Maximise use of internal resources </w:t>
            </w:r>
          </w:p>
          <w:p w:rsidR="00E806E0" w:rsidRDefault="00E806E0" w:rsidP="00327AAA"/>
          <w:p w:rsidR="00E806E0" w:rsidRDefault="00E806E0" w:rsidP="00327AAA">
            <w:r>
              <w:t xml:space="preserve">External placements only to be commissioned for four weeks initially, only if no in house provision available </w:t>
            </w:r>
          </w:p>
          <w:p w:rsidR="00E806E0" w:rsidRDefault="00E806E0" w:rsidP="00327AAA"/>
          <w:p w:rsidR="00E806E0" w:rsidRDefault="00E806E0" w:rsidP="00327AAA">
            <w:r>
              <w:t>Maximise joint funding opportunities</w:t>
            </w:r>
          </w:p>
          <w:p w:rsidR="00E806E0" w:rsidRDefault="00E806E0" w:rsidP="00327AAA"/>
          <w:p w:rsidR="00E806E0" w:rsidRDefault="00E806E0" w:rsidP="00327AAA">
            <w:pPr>
              <w:rPr>
                <w:u w:val="single"/>
              </w:rPr>
            </w:pPr>
            <w:r>
              <w:t>Ensure that children do not become LAC when there are alternatives available</w:t>
            </w:r>
          </w:p>
        </w:tc>
        <w:tc>
          <w:tcPr>
            <w:tcW w:w="1432" w:type="pct"/>
          </w:tcPr>
          <w:p w:rsidR="00E806E0" w:rsidRDefault="00E806E0" w:rsidP="00327AAA">
            <w:r w:rsidRPr="002120C0">
              <w:lastRenderedPageBreak/>
              <w:t xml:space="preserve">Budgets are not showing overspends at year end. </w:t>
            </w:r>
          </w:p>
          <w:p w:rsidR="00E806E0" w:rsidRDefault="00E806E0" w:rsidP="00327AAA"/>
          <w:p w:rsidR="00E806E0" w:rsidRPr="002120C0" w:rsidRDefault="00E806E0" w:rsidP="00327AAA">
            <w:r>
              <w:t>Budget pressures are known and identified at the earliest point in order that action can be taken in a timely way to reduce or mitigate against predicted overspends.</w:t>
            </w:r>
          </w:p>
        </w:tc>
        <w:tc>
          <w:tcPr>
            <w:tcW w:w="614" w:type="pct"/>
          </w:tcPr>
          <w:p w:rsidR="00E806E0" w:rsidRDefault="00E806E0" w:rsidP="00327AAA">
            <w:pPr>
              <w:rPr>
                <w:u w:val="single"/>
              </w:rPr>
            </w:pPr>
          </w:p>
          <w:p w:rsidR="00E806E0" w:rsidRDefault="00E806E0" w:rsidP="00327AAA">
            <w:r w:rsidRPr="002120C0">
              <w:t>Weekly, monthly and quarterly budget returns</w:t>
            </w:r>
          </w:p>
          <w:p w:rsidR="00E806E0" w:rsidRDefault="00E806E0" w:rsidP="00327AAA"/>
          <w:p w:rsidR="00E806E0" w:rsidRPr="002120C0" w:rsidRDefault="00E806E0" w:rsidP="00327AAA">
            <w:r>
              <w:t>Care planning and LAC Actions work</w:t>
            </w:r>
          </w:p>
        </w:tc>
        <w:tc>
          <w:tcPr>
            <w:tcW w:w="767" w:type="pct"/>
          </w:tcPr>
          <w:p w:rsidR="00E806E0" w:rsidRDefault="00E806E0" w:rsidP="00327AAA"/>
          <w:p w:rsidR="00E806E0" w:rsidRDefault="00E806E0" w:rsidP="00327AAA">
            <w:pPr>
              <w:rPr>
                <w:u w:val="single"/>
              </w:rPr>
            </w:pPr>
            <w:r w:rsidRPr="0051076B">
              <w:t xml:space="preserve">Head of Service, LAC </w:t>
            </w:r>
          </w:p>
        </w:tc>
        <w:tc>
          <w:tcPr>
            <w:tcW w:w="716" w:type="pct"/>
          </w:tcPr>
          <w:p w:rsidR="00E806E0" w:rsidRDefault="00E806E0" w:rsidP="00327AAA"/>
          <w:p w:rsidR="00E806E0" w:rsidRDefault="00E806E0" w:rsidP="00327AAA">
            <w:r>
              <w:t>External placements budget is predicting significant underspend</w:t>
            </w:r>
          </w:p>
          <w:p w:rsidR="00E806E0" w:rsidRDefault="00E806E0" w:rsidP="00327AAA"/>
          <w:p w:rsidR="00E806E0" w:rsidRDefault="00E806E0" w:rsidP="00327AAA">
            <w:r>
              <w:t>Weekly reports provided to senior managers</w:t>
            </w:r>
          </w:p>
          <w:p w:rsidR="00E806E0" w:rsidRDefault="00E806E0" w:rsidP="00327AAA"/>
          <w:p w:rsidR="00E806E0" w:rsidRDefault="00E806E0" w:rsidP="00327AAA">
            <w:r>
              <w:lastRenderedPageBreak/>
              <w:t>Placements only commissioned for four weeks and activity undertaken to explore in house options to reduce the need for external placements</w:t>
            </w:r>
          </w:p>
          <w:p w:rsidR="00E806E0" w:rsidRDefault="00E806E0" w:rsidP="00327AAA"/>
          <w:p w:rsidR="00E806E0" w:rsidRDefault="00E806E0" w:rsidP="00327AAA"/>
        </w:tc>
      </w:tr>
    </w:tbl>
    <w:p w:rsidR="0014780B" w:rsidRDefault="0014780B" w:rsidP="0014780B">
      <w:pPr>
        <w:rPr>
          <w:u w:val="single"/>
        </w:rPr>
      </w:pPr>
    </w:p>
    <w:p w:rsidR="00067D9E" w:rsidRDefault="00067D9E" w:rsidP="0014780B">
      <w:pPr>
        <w:rPr>
          <w:u w:val="single"/>
        </w:rPr>
      </w:pPr>
    </w:p>
    <w:p w:rsidR="003D1703" w:rsidRDefault="003D1703" w:rsidP="0014780B">
      <w:pPr>
        <w:rPr>
          <w:u w:val="single"/>
        </w:rPr>
      </w:pPr>
    </w:p>
    <w:p w:rsidR="0014780B" w:rsidRPr="00067D9E" w:rsidRDefault="0014780B" w:rsidP="0014780B">
      <w:pPr>
        <w:rPr>
          <w:b/>
          <w:sz w:val="24"/>
          <w:u w:val="single"/>
        </w:rPr>
      </w:pPr>
      <w:r w:rsidRPr="00067D9E">
        <w:rPr>
          <w:b/>
          <w:sz w:val="24"/>
          <w:u w:val="single"/>
        </w:rPr>
        <w:lastRenderedPageBreak/>
        <w:t>Commissioning priority 6</w:t>
      </w:r>
    </w:p>
    <w:p w:rsidR="0014780B" w:rsidRPr="00067D9E" w:rsidRDefault="0014780B" w:rsidP="0014780B">
      <w:pPr>
        <w:rPr>
          <w:sz w:val="28"/>
        </w:rPr>
      </w:pPr>
      <w:r w:rsidRPr="00067D9E">
        <w:rPr>
          <w:sz w:val="28"/>
        </w:rPr>
        <w:t>To interpret national and local data to inform placement planning, identify gaps in provision and anticipate emerging need resulting in responsive and dynamic recruitment and commissioning strategies.</w:t>
      </w:r>
    </w:p>
    <w:tbl>
      <w:tblPr>
        <w:tblStyle w:val="TableGrid"/>
        <w:tblW w:w="4889" w:type="pct"/>
        <w:shd w:val="clear" w:color="auto" w:fill="8DB3E2" w:themeFill="text2" w:themeFillTint="66"/>
        <w:tblLook w:val="04A0" w:firstRow="1" w:lastRow="0" w:firstColumn="1" w:lastColumn="0" w:noHBand="0" w:noVBand="1"/>
      </w:tblPr>
      <w:tblGrid>
        <w:gridCol w:w="2027"/>
        <w:gridCol w:w="2027"/>
        <w:gridCol w:w="3992"/>
        <w:gridCol w:w="1702"/>
        <w:gridCol w:w="2126"/>
        <w:gridCol w:w="1985"/>
      </w:tblGrid>
      <w:tr w:rsidR="00E806E0" w:rsidTr="00067D9E">
        <w:tc>
          <w:tcPr>
            <w:tcW w:w="731"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31"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40"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tcBorders>
              <w:bottom w:val="single" w:sz="4" w:space="0" w:color="auto"/>
            </w:tcBorders>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tcBorders>
              <w:bottom w:val="single" w:sz="4" w:space="0" w:color="auto"/>
            </w:tcBorders>
            <w:shd w:val="clear" w:color="auto" w:fill="92CDDC" w:themeFill="accent5" w:themeFillTint="99"/>
          </w:tcPr>
          <w:p w:rsidR="00E806E0" w:rsidRPr="00D80C43" w:rsidRDefault="00E806E0" w:rsidP="00327AAA">
            <w:pPr>
              <w:rPr>
                <w:b/>
              </w:rPr>
            </w:pPr>
          </w:p>
          <w:p w:rsidR="00E806E0" w:rsidRPr="00D80C43" w:rsidRDefault="00E806E0" w:rsidP="00327AAA">
            <w:pPr>
              <w:rPr>
                <w:b/>
              </w:rPr>
            </w:pPr>
            <w:r w:rsidRPr="00D80C43">
              <w:rPr>
                <w:b/>
              </w:rPr>
              <w:t xml:space="preserve">Progress </w:t>
            </w:r>
          </w:p>
        </w:tc>
      </w:tr>
      <w:tr w:rsidR="00E806E0" w:rsidTr="00067D9E">
        <w:tc>
          <w:tcPr>
            <w:tcW w:w="731" w:type="pct"/>
            <w:shd w:val="clear" w:color="auto" w:fill="auto"/>
          </w:tcPr>
          <w:p w:rsidR="00E806E0" w:rsidRDefault="00E806E0" w:rsidP="00327AAA">
            <w:pPr>
              <w:rPr>
                <w:u w:val="single"/>
              </w:rPr>
            </w:pPr>
          </w:p>
          <w:p w:rsidR="00E806E0" w:rsidRPr="00E12D7E" w:rsidRDefault="00E806E0" w:rsidP="00BD445A">
            <w:r>
              <w:t xml:space="preserve">. </w:t>
            </w:r>
          </w:p>
        </w:tc>
        <w:tc>
          <w:tcPr>
            <w:tcW w:w="731" w:type="pct"/>
            <w:shd w:val="clear" w:color="auto" w:fill="auto"/>
          </w:tcPr>
          <w:p w:rsidR="00E806E0" w:rsidRDefault="00E806E0" w:rsidP="00327AAA">
            <w:pPr>
              <w:rPr>
                <w:u w:val="single"/>
              </w:rPr>
            </w:pPr>
          </w:p>
          <w:p w:rsidR="00E806E0" w:rsidRDefault="00E806E0" w:rsidP="00327AAA">
            <w:r w:rsidRPr="002C6B92">
              <w:t>LAC managers to be aware of national and local data and emerging trends through Care Planning, LAC Actions and performance data sets</w:t>
            </w:r>
          </w:p>
          <w:p w:rsidR="00E806E0" w:rsidRDefault="00E806E0" w:rsidP="00327AAA"/>
          <w:p w:rsidR="00E806E0" w:rsidRDefault="00E806E0" w:rsidP="00327AAA">
            <w:r>
              <w:t>Recruitment strategies are targeted at carers who can meet the needs of our children</w:t>
            </w:r>
          </w:p>
          <w:p w:rsidR="00E806E0" w:rsidRDefault="00E806E0" w:rsidP="00327AAA"/>
          <w:p w:rsidR="00E806E0" w:rsidRDefault="00E806E0" w:rsidP="00327AAA">
            <w:r>
              <w:lastRenderedPageBreak/>
              <w:t xml:space="preserve">Placement service has an overview of the care and carer  population to predict, track and monitor placement availability, to anticipate and meet need   </w:t>
            </w:r>
          </w:p>
          <w:p w:rsidR="00E806E0" w:rsidRDefault="00E806E0" w:rsidP="00327AAA"/>
          <w:p w:rsidR="00E806E0" w:rsidRDefault="00E806E0" w:rsidP="00327AAA">
            <w:r>
              <w:t xml:space="preserve">A comprehensive programme of work to track admissions to care, achievement of care plans, compliance with FJR and adoption timescales </w:t>
            </w:r>
          </w:p>
          <w:p w:rsidR="00E806E0" w:rsidRDefault="00E806E0" w:rsidP="00327AAA"/>
          <w:p w:rsidR="00E806E0" w:rsidRPr="002C6B92" w:rsidRDefault="00E806E0" w:rsidP="00D80C43">
            <w:r>
              <w:t xml:space="preserve">Implement Adoption Improvement plan </w:t>
            </w:r>
          </w:p>
        </w:tc>
        <w:tc>
          <w:tcPr>
            <w:tcW w:w="1440" w:type="pct"/>
            <w:shd w:val="clear" w:color="auto" w:fill="auto"/>
          </w:tcPr>
          <w:p w:rsidR="00E806E0" w:rsidRDefault="00E806E0" w:rsidP="00327AAA">
            <w:pPr>
              <w:rPr>
                <w:u w:val="single"/>
              </w:rPr>
            </w:pPr>
          </w:p>
          <w:p w:rsidR="00E806E0" w:rsidRDefault="00E806E0" w:rsidP="00327AAA">
            <w:r w:rsidRPr="002C6B92">
              <w:t>There is a range of placement options available to meet the assessed needs of children</w:t>
            </w:r>
          </w:p>
          <w:p w:rsidR="00E806E0" w:rsidRDefault="00E806E0" w:rsidP="00327AAA"/>
          <w:p w:rsidR="00E806E0" w:rsidRDefault="00E806E0" w:rsidP="00327AAA">
            <w:r>
              <w:t>Permanence is achieved and placement moves reduced</w:t>
            </w:r>
          </w:p>
          <w:p w:rsidR="00E806E0" w:rsidRDefault="00E806E0" w:rsidP="00327AAA"/>
          <w:p w:rsidR="00E806E0" w:rsidRPr="00E806E0" w:rsidRDefault="00E806E0" w:rsidP="00327AAA">
            <w:pPr>
              <w:rPr>
                <w:color w:val="FF0000"/>
              </w:rPr>
            </w:pPr>
            <w:r>
              <w:t xml:space="preserve">Increased pool of approved carers/adopters </w:t>
            </w:r>
          </w:p>
          <w:p w:rsidR="00E806E0" w:rsidRDefault="00E806E0" w:rsidP="00327AAA"/>
          <w:p w:rsidR="00E806E0" w:rsidRDefault="00E806E0" w:rsidP="00327AAA">
            <w:r>
              <w:t xml:space="preserve">Use of in house provision is maximised </w:t>
            </w:r>
          </w:p>
          <w:p w:rsidR="00E806E0" w:rsidRDefault="00E806E0" w:rsidP="00327AAA"/>
          <w:p w:rsidR="00E806E0" w:rsidRDefault="00E806E0" w:rsidP="00327AAA">
            <w:r>
              <w:t>Leicester City understands their care population, and can evidence placement provision suitable and sufficient to meet the needs of this cohort</w:t>
            </w:r>
          </w:p>
          <w:p w:rsidR="00E806E0" w:rsidRDefault="00E806E0" w:rsidP="00327AAA"/>
          <w:p w:rsidR="00E806E0" w:rsidRDefault="00E806E0" w:rsidP="00327AAA">
            <w:r>
              <w:lastRenderedPageBreak/>
              <w:t xml:space="preserve">Closing the attainment gap </w:t>
            </w:r>
          </w:p>
          <w:p w:rsidR="00E806E0" w:rsidRPr="002C6B92" w:rsidRDefault="00E806E0" w:rsidP="00327AAA">
            <w:r>
              <w:t xml:space="preserve">  </w:t>
            </w:r>
          </w:p>
        </w:tc>
        <w:tc>
          <w:tcPr>
            <w:tcW w:w="614" w:type="pct"/>
            <w:shd w:val="clear" w:color="auto" w:fill="auto"/>
          </w:tcPr>
          <w:p w:rsidR="00E806E0" w:rsidRDefault="00E806E0" w:rsidP="00327AAA">
            <w:pPr>
              <w:rPr>
                <w:u w:val="single"/>
              </w:rPr>
            </w:pPr>
          </w:p>
          <w:p w:rsidR="00E806E0" w:rsidRPr="00B67AA5" w:rsidRDefault="00E806E0" w:rsidP="00327AAA">
            <w:r w:rsidRPr="00B67AA5">
              <w:t>Key performance indicator outcomes</w:t>
            </w:r>
          </w:p>
          <w:p w:rsidR="00E806E0" w:rsidRPr="00B67AA5" w:rsidRDefault="00E806E0" w:rsidP="00327AAA"/>
          <w:p w:rsidR="00E806E0" w:rsidRPr="00B67AA5" w:rsidRDefault="00E806E0" w:rsidP="00327AAA">
            <w:r w:rsidRPr="00B67AA5">
              <w:t>Ofsted inspection</w:t>
            </w:r>
          </w:p>
          <w:p w:rsidR="00E806E0" w:rsidRDefault="00E806E0" w:rsidP="00327AAA">
            <w:r>
              <w:t>o</w:t>
            </w:r>
            <w:r w:rsidRPr="00B67AA5">
              <w:t>utcomes</w:t>
            </w:r>
          </w:p>
          <w:p w:rsidR="00E806E0" w:rsidRDefault="00E806E0" w:rsidP="00327AAA"/>
          <w:p w:rsidR="00E806E0" w:rsidRDefault="00E806E0" w:rsidP="00327AAA">
            <w:r>
              <w:t>Numbers of new carers/adopters  recruited and approved</w:t>
            </w:r>
          </w:p>
          <w:p w:rsidR="00E806E0" w:rsidRDefault="00E806E0" w:rsidP="00327AAA"/>
          <w:p w:rsidR="00E806E0" w:rsidRDefault="00E806E0" w:rsidP="00327AAA">
            <w:r>
              <w:t xml:space="preserve">Adoptions achieved with in </w:t>
            </w:r>
            <w:r>
              <w:lastRenderedPageBreak/>
              <w:t>timescales</w:t>
            </w:r>
          </w:p>
          <w:p w:rsidR="00E806E0" w:rsidRDefault="00E806E0" w:rsidP="00327AAA"/>
          <w:p w:rsidR="00E806E0" w:rsidRDefault="00E806E0" w:rsidP="00327AAA">
            <w:r>
              <w:t>Care proceedings concluded within 26 weeks</w:t>
            </w:r>
          </w:p>
          <w:p w:rsidR="00E806E0" w:rsidRDefault="00E806E0" w:rsidP="00327AAA"/>
          <w:p w:rsidR="00E806E0" w:rsidRDefault="00E806E0" w:rsidP="00327AAA">
            <w:r>
              <w:t>CIPFA benchmarking data</w:t>
            </w:r>
          </w:p>
          <w:p w:rsidR="00E806E0" w:rsidRPr="00B67AA5" w:rsidRDefault="00E806E0" w:rsidP="00327AAA"/>
          <w:p w:rsidR="00E806E0" w:rsidRDefault="00E806E0" w:rsidP="00327AAA">
            <w:pPr>
              <w:rPr>
                <w:u w:val="single"/>
              </w:rPr>
            </w:pPr>
          </w:p>
        </w:tc>
        <w:tc>
          <w:tcPr>
            <w:tcW w:w="767" w:type="pct"/>
            <w:shd w:val="clear" w:color="auto" w:fill="auto"/>
          </w:tcPr>
          <w:p w:rsidR="00E806E0" w:rsidRDefault="00E806E0" w:rsidP="00327AAA">
            <w:pPr>
              <w:rPr>
                <w:u w:val="single"/>
              </w:rPr>
            </w:pPr>
          </w:p>
          <w:p w:rsidR="00E806E0" w:rsidRDefault="00E806E0" w:rsidP="00327AAA">
            <w:pPr>
              <w:rPr>
                <w:u w:val="single"/>
              </w:rPr>
            </w:pPr>
            <w:r w:rsidRPr="0051076B">
              <w:t>Head of Service, LAC</w:t>
            </w:r>
          </w:p>
        </w:tc>
        <w:tc>
          <w:tcPr>
            <w:tcW w:w="716" w:type="pct"/>
            <w:shd w:val="clear" w:color="auto" w:fill="auto"/>
          </w:tcPr>
          <w:p w:rsidR="00E806E0" w:rsidRDefault="00E806E0" w:rsidP="00327AAA">
            <w:pPr>
              <w:rPr>
                <w:u w:val="single"/>
              </w:rPr>
            </w:pPr>
          </w:p>
          <w:p w:rsidR="00E806E0" w:rsidRPr="00D80C43" w:rsidRDefault="00E806E0" w:rsidP="00D80C43">
            <w:r w:rsidRPr="00D80C43">
              <w:t xml:space="preserve">Care Planning processes being refined </w:t>
            </w:r>
          </w:p>
          <w:p w:rsidR="00E806E0" w:rsidRPr="00D80C43" w:rsidRDefault="00E806E0" w:rsidP="00D80C43"/>
          <w:p w:rsidR="00E806E0" w:rsidRPr="00D80C43" w:rsidRDefault="00E806E0" w:rsidP="00D80C43">
            <w:r w:rsidRPr="00D80C43">
              <w:t>Significant data available to enable Leicester City to understand the local context</w:t>
            </w:r>
          </w:p>
          <w:p w:rsidR="00E806E0" w:rsidRPr="00D80C43" w:rsidRDefault="00E806E0" w:rsidP="00D80C43"/>
          <w:p w:rsidR="00E806E0" w:rsidRDefault="00E806E0" w:rsidP="00D80C43">
            <w:r w:rsidRPr="00D80C43">
              <w:t>Review of S20 and 16+ cohort planned, this links with work undertaken in the previous year</w:t>
            </w:r>
          </w:p>
          <w:p w:rsidR="00E806E0" w:rsidRDefault="00E806E0" w:rsidP="00D80C43"/>
          <w:p w:rsidR="00E806E0" w:rsidRDefault="00E806E0" w:rsidP="00D80C43">
            <w:pPr>
              <w:rPr>
                <w:u w:val="single"/>
              </w:rPr>
            </w:pPr>
            <w:r>
              <w:lastRenderedPageBreak/>
              <w:t>Adoption and FJR timescales monitored and performance improving</w:t>
            </w:r>
          </w:p>
        </w:tc>
      </w:tr>
    </w:tbl>
    <w:p w:rsidR="0076059B" w:rsidRPr="00134FB3" w:rsidRDefault="0076059B" w:rsidP="00F7515A">
      <w:pPr>
        <w:pStyle w:val="ListParagraph"/>
        <w:rPr>
          <w:rFonts w:ascii="Arial" w:hAnsi="Arial" w:cs="Arial"/>
        </w:rPr>
      </w:pPr>
    </w:p>
    <w:sectPr w:rsidR="0076059B" w:rsidRPr="00134FB3" w:rsidSect="00EB37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1C" w:rsidRDefault="000B501C" w:rsidP="00F25417">
      <w:pPr>
        <w:spacing w:after="0" w:line="240" w:lineRule="auto"/>
      </w:pPr>
      <w:r>
        <w:separator/>
      </w:r>
    </w:p>
  </w:endnote>
  <w:endnote w:type="continuationSeparator" w:id="0">
    <w:p w:rsidR="000B501C" w:rsidRDefault="000B501C" w:rsidP="00F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10307"/>
      <w:docPartObj>
        <w:docPartGallery w:val="Page Numbers (Bottom of Page)"/>
        <w:docPartUnique/>
      </w:docPartObj>
    </w:sdtPr>
    <w:sdtEndPr>
      <w:rPr>
        <w:noProof/>
      </w:rPr>
    </w:sdtEndPr>
    <w:sdtContent>
      <w:p w:rsidR="00F31C0D" w:rsidRDefault="00F31C0D">
        <w:pPr>
          <w:pStyle w:val="Footer"/>
          <w:jc w:val="center"/>
        </w:pPr>
        <w:r>
          <w:fldChar w:fldCharType="begin"/>
        </w:r>
        <w:r>
          <w:instrText xml:space="preserve"> PAGE   \* MERGEFORMAT </w:instrText>
        </w:r>
        <w:r>
          <w:fldChar w:fldCharType="separate"/>
        </w:r>
        <w:r w:rsidR="00695E2D">
          <w:rPr>
            <w:noProof/>
          </w:rPr>
          <w:t>1</w:t>
        </w:r>
        <w:r>
          <w:rPr>
            <w:noProof/>
          </w:rPr>
          <w:fldChar w:fldCharType="end"/>
        </w:r>
      </w:p>
    </w:sdtContent>
  </w:sdt>
  <w:p w:rsidR="00F31C0D" w:rsidRDefault="00F31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1C" w:rsidRDefault="000B501C" w:rsidP="00F25417">
      <w:pPr>
        <w:spacing w:after="0" w:line="240" w:lineRule="auto"/>
      </w:pPr>
      <w:r>
        <w:separator/>
      </w:r>
    </w:p>
  </w:footnote>
  <w:footnote w:type="continuationSeparator" w:id="0">
    <w:p w:rsidR="000B501C" w:rsidRDefault="000B501C" w:rsidP="00F2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p w:rsidR="00F31C0D" w:rsidRDefault="00F31C0D">
    <w:pPr>
      <w:pStyle w:val="Header"/>
    </w:pPr>
    <w:r>
      <w:rPr>
        <w:noProof/>
        <w:lang w:eastAsia="en-GB"/>
      </w:rPr>
      <w:drawing>
        <wp:inline distT="0" distB="0" distL="0" distR="0" wp14:anchorId="0D1960DD" wp14:editId="21A5A6C0">
          <wp:extent cx="735496" cy="1019887"/>
          <wp:effectExtent l="0" t="0" r="7620" b="8890"/>
          <wp:docPr id="4" name="Picture 4"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203" cy="1025028"/>
                  </a:xfrm>
                  <a:prstGeom prst="rect">
                    <a:avLst/>
                  </a:prstGeom>
                  <a:noFill/>
                  <a:ln>
                    <a:noFill/>
                  </a:ln>
                </pic:spPr>
              </pic:pic>
            </a:graphicData>
          </a:graphic>
        </wp:inline>
      </w:drawing>
    </w:r>
  </w:p>
  <w:p w:rsidR="00F31C0D" w:rsidRDefault="00F31C0D">
    <w:pPr>
      <w:pStyle w:val="Header"/>
    </w:pPr>
  </w:p>
  <w:p w:rsidR="00F31C0D" w:rsidRDefault="00F31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BFB"/>
    <w:multiLevelType w:val="hybridMultilevel"/>
    <w:tmpl w:val="7CCC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C0C5D"/>
    <w:multiLevelType w:val="hybridMultilevel"/>
    <w:tmpl w:val="E89C34A6"/>
    <w:lvl w:ilvl="0" w:tplc="08090001">
      <w:start w:val="1"/>
      <w:numFmt w:val="bullet"/>
      <w:lvlText w:val=""/>
      <w:lvlJc w:val="left"/>
      <w:pPr>
        <w:ind w:left="1494" w:hanging="360"/>
      </w:pPr>
      <w:rPr>
        <w:rFonts w:ascii="Symbol" w:hAnsi="Symbol" w:hint="default"/>
      </w:rPr>
    </w:lvl>
    <w:lvl w:ilvl="1" w:tplc="304AD11C">
      <w:numFmt w:val="bullet"/>
      <w:lvlText w:val="•"/>
      <w:lvlJc w:val="left"/>
      <w:pPr>
        <w:ind w:left="2574" w:hanging="720"/>
      </w:pPr>
      <w:rPr>
        <w:rFonts w:ascii="Arial" w:eastAsiaTheme="minorHAnsi"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222A5C16"/>
    <w:multiLevelType w:val="hybridMultilevel"/>
    <w:tmpl w:val="4F3E8C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B3B73"/>
    <w:multiLevelType w:val="hybridMultilevel"/>
    <w:tmpl w:val="E39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07711"/>
    <w:multiLevelType w:val="hybridMultilevel"/>
    <w:tmpl w:val="4DFC4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E42722"/>
    <w:multiLevelType w:val="hybridMultilevel"/>
    <w:tmpl w:val="0FEE62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B3369"/>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1C56F98"/>
    <w:multiLevelType w:val="hybridMultilevel"/>
    <w:tmpl w:val="0DA0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B6E8F"/>
    <w:multiLevelType w:val="hybridMultilevel"/>
    <w:tmpl w:val="88A8F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D5A3CAF"/>
    <w:multiLevelType w:val="hybridMultilevel"/>
    <w:tmpl w:val="6AA8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06144"/>
    <w:multiLevelType w:val="hybridMultilevel"/>
    <w:tmpl w:val="924266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7187601"/>
    <w:multiLevelType w:val="hybridMultilevel"/>
    <w:tmpl w:val="901C0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C86F65"/>
    <w:multiLevelType w:val="hybridMultilevel"/>
    <w:tmpl w:val="569A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B286A"/>
    <w:multiLevelType w:val="hybridMultilevel"/>
    <w:tmpl w:val="414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94DA1"/>
    <w:multiLevelType w:val="hybridMultilevel"/>
    <w:tmpl w:val="12A0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95453"/>
    <w:multiLevelType w:val="multilevel"/>
    <w:tmpl w:val="546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1005F2"/>
    <w:multiLevelType w:val="hybridMultilevel"/>
    <w:tmpl w:val="C338C37E"/>
    <w:lvl w:ilvl="0" w:tplc="0809000F">
      <w:start w:val="1"/>
      <w:numFmt w:val="decimal"/>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DC7948"/>
    <w:multiLevelType w:val="hybridMultilevel"/>
    <w:tmpl w:val="3C84FC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63D5C43"/>
    <w:multiLevelType w:val="hybridMultilevel"/>
    <w:tmpl w:val="E514B116"/>
    <w:lvl w:ilvl="0" w:tplc="F1EEC090">
      <w:numFmt w:val="bullet"/>
      <w:lvlText w:val="•"/>
      <w:lvlJc w:val="left"/>
      <w:pPr>
        <w:ind w:left="1080" w:hanging="720"/>
      </w:pPr>
      <w:rPr>
        <w:rFonts w:ascii="Calibri" w:eastAsiaTheme="minorHAnsi" w:hAnsi="Calibri"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8"/>
  </w:num>
  <w:num w:numId="5">
    <w:abstractNumId w:val="14"/>
  </w:num>
  <w:num w:numId="6">
    <w:abstractNumId w:val="15"/>
  </w:num>
  <w:num w:numId="7">
    <w:abstractNumId w:val="5"/>
  </w:num>
  <w:num w:numId="8">
    <w:abstractNumId w:val="16"/>
  </w:num>
  <w:num w:numId="9">
    <w:abstractNumId w:val="3"/>
  </w:num>
  <w:num w:numId="10">
    <w:abstractNumId w:val="10"/>
  </w:num>
  <w:num w:numId="11">
    <w:abstractNumId w:val="6"/>
  </w:num>
  <w:num w:numId="12">
    <w:abstractNumId w:val="2"/>
  </w:num>
  <w:num w:numId="13">
    <w:abstractNumId w:val="0"/>
  </w:num>
  <w:num w:numId="14">
    <w:abstractNumId w:val="12"/>
  </w:num>
  <w:num w:numId="15">
    <w:abstractNumId w:val="1"/>
  </w:num>
  <w:num w:numId="16">
    <w:abstractNumId w:val="4"/>
  </w:num>
  <w:num w:numId="17">
    <w:abstractNumId w:val="11"/>
  </w:num>
  <w:num w:numId="18">
    <w:abstractNumId w:val="9"/>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2A"/>
    <w:rsid w:val="00000307"/>
    <w:rsid w:val="00000C78"/>
    <w:rsid w:val="00017422"/>
    <w:rsid w:val="0002126A"/>
    <w:rsid w:val="00024E43"/>
    <w:rsid w:val="00056CDD"/>
    <w:rsid w:val="00067D9E"/>
    <w:rsid w:val="000A7B6D"/>
    <w:rsid w:val="000B501C"/>
    <w:rsid w:val="000D46B5"/>
    <w:rsid w:val="000D4D77"/>
    <w:rsid w:val="00134FB3"/>
    <w:rsid w:val="00140C8E"/>
    <w:rsid w:val="0014780B"/>
    <w:rsid w:val="00163467"/>
    <w:rsid w:val="001725B8"/>
    <w:rsid w:val="0017416A"/>
    <w:rsid w:val="00177C63"/>
    <w:rsid w:val="001843D3"/>
    <w:rsid w:val="001A461D"/>
    <w:rsid w:val="001C51BE"/>
    <w:rsid w:val="001E366B"/>
    <w:rsid w:val="001F1DB9"/>
    <w:rsid w:val="001F7DB5"/>
    <w:rsid w:val="002150DB"/>
    <w:rsid w:val="00235885"/>
    <w:rsid w:val="00235A9D"/>
    <w:rsid w:val="00236E2D"/>
    <w:rsid w:val="00272390"/>
    <w:rsid w:val="00272D0E"/>
    <w:rsid w:val="002A38B0"/>
    <w:rsid w:val="002D2F77"/>
    <w:rsid w:val="002E1BE6"/>
    <w:rsid w:val="002E2211"/>
    <w:rsid w:val="002F0BD8"/>
    <w:rsid w:val="002F1013"/>
    <w:rsid w:val="002F247E"/>
    <w:rsid w:val="002F3E58"/>
    <w:rsid w:val="00300348"/>
    <w:rsid w:val="00327AAA"/>
    <w:rsid w:val="003360B2"/>
    <w:rsid w:val="00357130"/>
    <w:rsid w:val="00357458"/>
    <w:rsid w:val="0038653F"/>
    <w:rsid w:val="0039417F"/>
    <w:rsid w:val="00394E94"/>
    <w:rsid w:val="003978C3"/>
    <w:rsid w:val="003C4924"/>
    <w:rsid w:val="003D1703"/>
    <w:rsid w:val="003D5517"/>
    <w:rsid w:val="00426E93"/>
    <w:rsid w:val="0043719E"/>
    <w:rsid w:val="00447467"/>
    <w:rsid w:val="00447B3A"/>
    <w:rsid w:val="00451F23"/>
    <w:rsid w:val="0045752A"/>
    <w:rsid w:val="00461B1D"/>
    <w:rsid w:val="0047029E"/>
    <w:rsid w:val="00470669"/>
    <w:rsid w:val="0048165D"/>
    <w:rsid w:val="004855CE"/>
    <w:rsid w:val="004C5E15"/>
    <w:rsid w:val="004D777D"/>
    <w:rsid w:val="004F1EE6"/>
    <w:rsid w:val="004F6C85"/>
    <w:rsid w:val="00503830"/>
    <w:rsid w:val="00512193"/>
    <w:rsid w:val="00512401"/>
    <w:rsid w:val="0052385D"/>
    <w:rsid w:val="00544E3B"/>
    <w:rsid w:val="005613CC"/>
    <w:rsid w:val="00564FC9"/>
    <w:rsid w:val="00575511"/>
    <w:rsid w:val="005C181F"/>
    <w:rsid w:val="005E47F6"/>
    <w:rsid w:val="005F2FDB"/>
    <w:rsid w:val="00606F17"/>
    <w:rsid w:val="00621E88"/>
    <w:rsid w:val="006330D0"/>
    <w:rsid w:val="006366FD"/>
    <w:rsid w:val="00651910"/>
    <w:rsid w:val="00667225"/>
    <w:rsid w:val="00674370"/>
    <w:rsid w:val="00695E2D"/>
    <w:rsid w:val="006A1852"/>
    <w:rsid w:val="006B761B"/>
    <w:rsid w:val="006D2C6C"/>
    <w:rsid w:val="006D7021"/>
    <w:rsid w:val="006F3D70"/>
    <w:rsid w:val="006F512E"/>
    <w:rsid w:val="00712A88"/>
    <w:rsid w:val="007169EA"/>
    <w:rsid w:val="00716EF4"/>
    <w:rsid w:val="00725931"/>
    <w:rsid w:val="00732EF4"/>
    <w:rsid w:val="00733CFC"/>
    <w:rsid w:val="007432CF"/>
    <w:rsid w:val="007519E1"/>
    <w:rsid w:val="0076059B"/>
    <w:rsid w:val="00766895"/>
    <w:rsid w:val="00772E32"/>
    <w:rsid w:val="00795B54"/>
    <w:rsid w:val="007A5504"/>
    <w:rsid w:val="007B3B48"/>
    <w:rsid w:val="007C2237"/>
    <w:rsid w:val="007D65CA"/>
    <w:rsid w:val="007E40F7"/>
    <w:rsid w:val="007E7B2F"/>
    <w:rsid w:val="007F10F9"/>
    <w:rsid w:val="007F5BA2"/>
    <w:rsid w:val="008004B6"/>
    <w:rsid w:val="008015DB"/>
    <w:rsid w:val="008366F1"/>
    <w:rsid w:val="00837022"/>
    <w:rsid w:val="00854CF8"/>
    <w:rsid w:val="0086745B"/>
    <w:rsid w:val="00871A82"/>
    <w:rsid w:val="00874D83"/>
    <w:rsid w:val="0088537B"/>
    <w:rsid w:val="00887969"/>
    <w:rsid w:val="00887A53"/>
    <w:rsid w:val="00890A20"/>
    <w:rsid w:val="00895462"/>
    <w:rsid w:val="008B6AE2"/>
    <w:rsid w:val="008C3533"/>
    <w:rsid w:val="008C54D3"/>
    <w:rsid w:val="008C6D8E"/>
    <w:rsid w:val="008C7AFD"/>
    <w:rsid w:val="008E257F"/>
    <w:rsid w:val="008E3D4E"/>
    <w:rsid w:val="00900251"/>
    <w:rsid w:val="00904A1C"/>
    <w:rsid w:val="00907B4D"/>
    <w:rsid w:val="009165D6"/>
    <w:rsid w:val="009333A0"/>
    <w:rsid w:val="00943045"/>
    <w:rsid w:val="009440B8"/>
    <w:rsid w:val="009539EE"/>
    <w:rsid w:val="00955AE7"/>
    <w:rsid w:val="0096326E"/>
    <w:rsid w:val="00964056"/>
    <w:rsid w:val="0096694D"/>
    <w:rsid w:val="00972BE7"/>
    <w:rsid w:val="0098610E"/>
    <w:rsid w:val="009B275C"/>
    <w:rsid w:val="009B7294"/>
    <w:rsid w:val="009C4E90"/>
    <w:rsid w:val="009C5A16"/>
    <w:rsid w:val="009C65DD"/>
    <w:rsid w:val="009D296C"/>
    <w:rsid w:val="009D5BC5"/>
    <w:rsid w:val="009F1C85"/>
    <w:rsid w:val="009F478A"/>
    <w:rsid w:val="009F4E44"/>
    <w:rsid w:val="00A0209A"/>
    <w:rsid w:val="00A20383"/>
    <w:rsid w:val="00A354FD"/>
    <w:rsid w:val="00A542AB"/>
    <w:rsid w:val="00A61D51"/>
    <w:rsid w:val="00A623FF"/>
    <w:rsid w:val="00A71032"/>
    <w:rsid w:val="00A755A5"/>
    <w:rsid w:val="00A80876"/>
    <w:rsid w:val="00A92898"/>
    <w:rsid w:val="00AB5CD1"/>
    <w:rsid w:val="00AC23B6"/>
    <w:rsid w:val="00AC635A"/>
    <w:rsid w:val="00AE67C5"/>
    <w:rsid w:val="00AF1A26"/>
    <w:rsid w:val="00B03246"/>
    <w:rsid w:val="00B35C99"/>
    <w:rsid w:val="00B54312"/>
    <w:rsid w:val="00B62A2B"/>
    <w:rsid w:val="00B74914"/>
    <w:rsid w:val="00B76623"/>
    <w:rsid w:val="00B87A6A"/>
    <w:rsid w:val="00B92571"/>
    <w:rsid w:val="00B941C3"/>
    <w:rsid w:val="00BA0C84"/>
    <w:rsid w:val="00BB1279"/>
    <w:rsid w:val="00BD2516"/>
    <w:rsid w:val="00BD27E0"/>
    <w:rsid w:val="00BD445A"/>
    <w:rsid w:val="00BE5231"/>
    <w:rsid w:val="00BF4987"/>
    <w:rsid w:val="00C15A4E"/>
    <w:rsid w:val="00C206C3"/>
    <w:rsid w:val="00C40011"/>
    <w:rsid w:val="00C672AF"/>
    <w:rsid w:val="00C744EB"/>
    <w:rsid w:val="00C7502D"/>
    <w:rsid w:val="00C83F1D"/>
    <w:rsid w:val="00C86773"/>
    <w:rsid w:val="00C956C0"/>
    <w:rsid w:val="00C95ADC"/>
    <w:rsid w:val="00CA3DA1"/>
    <w:rsid w:val="00CA595C"/>
    <w:rsid w:val="00CD6191"/>
    <w:rsid w:val="00CE3403"/>
    <w:rsid w:val="00CF3475"/>
    <w:rsid w:val="00D071B0"/>
    <w:rsid w:val="00D221E8"/>
    <w:rsid w:val="00D278C4"/>
    <w:rsid w:val="00D353AA"/>
    <w:rsid w:val="00D35849"/>
    <w:rsid w:val="00D43DE5"/>
    <w:rsid w:val="00D75C08"/>
    <w:rsid w:val="00D80C43"/>
    <w:rsid w:val="00D81665"/>
    <w:rsid w:val="00D87F62"/>
    <w:rsid w:val="00DA26F0"/>
    <w:rsid w:val="00DA3596"/>
    <w:rsid w:val="00DC3DED"/>
    <w:rsid w:val="00DC5C44"/>
    <w:rsid w:val="00DD1F79"/>
    <w:rsid w:val="00DD3FBD"/>
    <w:rsid w:val="00DD5BD9"/>
    <w:rsid w:val="00DE05F0"/>
    <w:rsid w:val="00DF1D3D"/>
    <w:rsid w:val="00E040CD"/>
    <w:rsid w:val="00E17FEE"/>
    <w:rsid w:val="00E205EA"/>
    <w:rsid w:val="00E229A8"/>
    <w:rsid w:val="00E4525E"/>
    <w:rsid w:val="00E546E9"/>
    <w:rsid w:val="00E54DBF"/>
    <w:rsid w:val="00E64C4E"/>
    <w:rsid w:val="00E66F0A"/>
    <w:rsid w:val="00E74782"/>
    <w:rsid w:val="00E75A29"/>
    <w:rsid w:val="00E806E0"/>
    <w:rsid w:val="00E86BB4"/>
    <w:rsid w:val="00E97CFA"/>
    <w:rsid w:val="00EB3730"/>
    <w:rsid w:val="00EB5D4D"/>
    <w:rsid w:val="00EC2675"/>
    <w:rsid w:val="00ED502A"/>
    <w:rsid w:val="00EE27EE"/>
    <w:rsid w:val="00EF0ABC"/>
    <w:rsid w:val="00F073E8"/>
    <w:rsid w:val="00F10D94"/>
    <w:rsid w:val="00F1311D"/>
    <w:rsid w:val="00F14D34"/>
    <w:rsid w:val="00F25417"/>
    <w:rsid w:val="00F31217"/>
    <w:rsid w:val="00F31C0D"/>
    <w:rsid w:val="00F447F4"/>
    <w:rsid w:val="00F46200"/>
    <w:rsid w:val="00F55ACA"/>
    <w:rsid w:val="00F7399D"/>
    <w:rsid w:val="00F7515A"/>
    <w:rsid w:val="00F94007"/>
    <w:rsid w:val="00FA6E0E"/>
    <w:rsid w:val="00FB3BF4"/>
    <w:rsid w:val="00FB5FA0"/>
    <w:rsid w:val="00FC6229"/>
    <w:rsid w:val="00FE0278"/>
    <w:rsid w:val="00FE478A"/>
    <w:rsid w:val="00FF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333">
      <w:bodyDiv w:val="1"/>
      <w:marLeft w:val="0"/>
      <w:marRight w:val="0"/>
      <w:marTop w:val="0"/>
      <w:marBottom w:val="0"/>
      <w:divBdr>
        <w:top w:val="none" w:sz="0" w:space="0" w:color="auto"/>
        <w:left w:val="none" w:sz="0" w:space="0" w:color="auto"/>
        <w:bottom w:val="none" w:sz="0" w:space="0" w:color="auto"/>
        <w:right w:val="none" w:sz="0" w:space="0" w:color="auto"/>
      </w:divBdr>
    </w:div>
    <w:div w:id="252511895">
      <w:bodyDiv w:val="1"/>
      <w:marLeft w:val="0"/>
      <w:marRight w:val="0"/>
      <w:marTop w:val="0"/>
      <w:marBottom w:val="0"/>
      <w:divBdr>
        <w:top w:val="none" w:sz="0" w:space="0" w:color="auto"/>
        <w:left w:val="none" w:sz="0" w:space="0" w:color="auto"/>
        <w:bottom w:val="none" w:sz="0" w:space="0" w:color="auto"/>
        <w:right w:val="none" w:sz="0" w:space="0" w:color="auto"/>
      </w:divBdr>
      <w:divsChild>
        <w:div w:id="1512716696">
          <w:marLeft w:val="0"/>
          <w:marRight w:val="0"/>
          <w:marTop w:val="75"/>
          <w:marBottom w:val="75"/>
          <w:divBdr>
            <w:top w:val="none" w:sz="0" w:space="0" w:color="auto"/>
            <w:left w:val="none" w:sz="0" w:space="0" w:color="auto"/>
            <w:bottom w:val="none" w:sz="0" w:space="0" w:color="auto"/>
            <w:right w:val="none" w:sz="0" w:space="0" w:color="auto"/>
          </w:divBdr>
          <w:divsChild>
            <w:div w:id="943152010">
              <w:marLeft w:val="0"/>
              <w:marRight w:val="0"/>
              <w:marTop w:val="0"/>
              <w:marBottom w:val="0"/>
              <w:divBdr>
                <w:top w:val="none" w:sz="0" w:space="0" w:color="auto"/>
                <w:left w:val="none" w:sz="0" w:space="0" w:color="auto"/>
                <w:bottom w:val="none" w:sz="0" w:space="0" w:color="auto"/>
                <w:right w:val="none" w:sz="0" w:space="0" w:color="auto"/>
              </w:divBdr>
              <w:divsChild>
                <w:div w:id="1822841046">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30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5677">
      <w:bodyDiv w:val="1"/>
      <w:marLeft w:val="0"/>
      <w:marRight w:val="0"/>
      <w:marTop w:val="0"/>
      <w:marBottom w:val="0"/>
      <w:divBdr>
        <w:top w:val="none" w:sz="0" w:space="0" w:color="auto"/>
        <w:left w:val="none" w:sz="0" w:space="0" w:color="auto"/>
        <w:bottom w:val="none" w:sz="0" w:space="0" w:color="auto"/>
        <w:right w:val="none" w:sz="0" w:space="0" w:color="auto"/>
      </w:divBdr>
      <w:divsChild>
        <w:div w:id="1991864255">
          <w:marLeft w:val="0"/>
          <w:marRight w:val="0"/>
          <w:marTop w:val="0"/>
          <w:marBottom w:val="0"/>
          <w:divBdr>
            <w:top w:val="none" w:sz="0" w:space="0" w:color="auto"/>
            <w:left w:val="none" w:sz="0" w:space="0" w:color="auto"/>
            <w:bottom w:val="none" w:sz="0" w:space="0" w:color="auto"/>
            <w:right w:val="none" w:sz="0" w:space="0" w:color="auto"/>
          </w:divBdr>
          <w:divsChild>
            <w:div w:id="1081751926">
              <w:marLeft w:val="0"/>
              <w:marRight w:val="450"/>
              <w:marTop w:val="0"/>
              <w:marBottom w:val="600"/>
              <w:divBdr>
                <w:top w:val="none" w:sz="0" w:space="0" w:color="auto"/>
                <w:left w:val="none" w:sz="0" w:space="0" w:color="auto"/>
                <w:bottom w:val="none" w:sz="0" w:space="0" w:color="auto"/>
                <w:right w:val="none" w:sz="0" w:space="0" w:color="auto"/>
              </w:divBdr>
              <w:divsChild>
                <w:div w:id="10695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2480">
      <w:bodyDiv w:val="1"/>
      <w:marLeft w:val="0"/>
      <w:marRight w:val="0"/>
      <w:marTop w:val="0"/>
      <w:marBottom w:val="0"/>
      <w:divBdr>
        <w:top w:val="none" w:sz="0" w:space="0" w:color="auto"/>
        <w:left w:val="none" w:sz="0" w:space="0" w:color="auto"/>
        <w:bottom w:val="none" w:sz="0" w:space="0" w:color="auto"/>
        <w:right w:val="none" w:sz="0" w:space="0" w:color="auto"/>
      </w:divBdr>
    </w:div>
    <w:div w:id="535121765">
      <w:bodyDiv w:val="1"/>
      <w:marLeft w:val="0"/>
      <w:marRight w:val="0"/>
      <w:marTop w:val="0"/>
      <w:marBottom w:val="0"/>
      <w:divBdr>
        <w:top w:val="none" w:sz="0" w:space="0" w:color="auto"/>
        <w:left w:val="none" w:sz="0" w:space="0" w:color="auto"/>
        <w:bottom w:val="none" w:sz="0" w:space="0" w:color="auto"/>
        <w:right w:val="none" w:sz="0" w:space="0" w:color="auto"/>
      </w:divBdr>
      <w:divsChild>
        <w:div w:id="567425773">
          <w:marLeft w:val="0"/>
          <w:marRight w:val="0"/>
          <w:marTop w:val="0"/>
          <w:marBottom w:val="0"/>
          <w:divBdr>
            <w:top w:val="none" w:sz="0" w:space="0" w:color="auto"/>
            <w:left w:val="none" w:sz="0" w:space="0" w:color="auto"/>
            <w:bottom w:val="none" w:sz="0" w:space="0" w:color="auto"/>
            <w:right w:val="none" w:sz="0" w:space="0" w:color="auto"/>
          </w:divBdr>
          <w:divsChild>
            <w:div w:id="330259190">
              <w:marLeft w:val="0"/>
              <w:marRight w:val="0"/>
              <w:marTop w:val="0"/>
              <w:marBottom w:val="0"/>
              <w:divBdr>
                <w:top w:val="none" w:sz="0" w:space="0" w:color="auto"/>
                <w:left w:val="none" w:sz="0" w:space="0" w:color="auto"/>
                <w:bottom w:val="none" w:sz="0" w:space="0" w:color="auto"/>
                <w:right w:val="none" w:sz="0" w:space="0" w:color="auto"/>
              </w:divBdr>
              <w:divsChild>
                <w:div w:id="815071446">
                  <w:marLeft w:val="0"/>
                  <w:marRight w:val="0"/>
                  <w:marTop w:val="0"/>
                  <w:marBottom w:val="0"/>
                  <w:divBdr>
                    <w:top w:val="none" w:sz="0" w:space="0" w:color="auto"/>
                    <w:left w:val="none" w:sz="0" w:space="0" w:color="auto"/>
                    <w:bottom w:val="none" w:sz="0" w:space="0" w:color="auto"/>
                    <w:right w:val="none" w:sz="0" w:space="0" w:color="auto"/>
                  </w:divBdr>
                  <w:divsChild>
                    <w:div w:id="277566421">
                      <w:marLeft w:val="0"/>
                      <w:marRight w:val="0"/>
                      <w:marTop w:val="0"/>
                      <w:marBottom w:val="0"/>
                      <w:divBdr>
                        <w:top w:val="none" w:sz="0" w:space="0" w:color="auto"/>
                        <w:left w:val="none" w:sz="0" w:space="0" w:color="auto"/>
                        <w:bottom w:val="none" w:sz="0" w:space="0" w:color="auto"/>
                        <w:right w:val="none" w:sz="0" w:space="0" w:color="auto"/>
                      </w:divBdr>
                      <w:divsChild>
                        <w:div w:id="1036999823">
                          <w:marLeft w:val="0"/>
                          <w:marRight w:val="-14400"/>
                          <w:marTop w:val="450"/>
                          <w:marBottom w:val="0"/>
                          <w:divBdr>
                            <w:top w:val="none" w:sz="0" w:space="0" w:color="auto"/>
                            <w:left w:val="none" w:sz="0" w:space="0" w:color="auto"/>
                            <w:bottom w:val="none" w:sz="0" w:space="0" w:color="auto"/>
                            <w:right w:val="none" w:sz="0" w:space="0" w:color="auto"/>
                          </w:divBdr>
                          <w:divsChild>
                            <w:div w:id="806242014">
                              <w:marLeft w:val="0"/>
                              <w:marRight w:val="0"/>
                              <w:marTop w:val="750"/>
                              <w:marBottom w:val="0"/>
                              <w:divBdr>
                                <w:top w:val="none" w:sz="0" w:space="0" w:color="auto"/>
                                <w:left w:val="none" w:sz="0" w:space="0" w:color="auto"/>
                                <w:bottom w:val="none" w:sz="0" w:space="0" w:color="auto"/>
                                <w:right w:val="none" w:sz="0" w:space="0" w:color="auto"/>
                              </w:divBdr>
                              <w:divsChild>
                                <w:div w:id="192839557">
                                  <w:marLeft w:val="0"/>
                                  <w:marRight w:val="0"/>
                                  <w:marTop w:val="225"/>
                                  <w:marBottom w:val="0"/>
                                  <w:divBdr>
                                    <w:top w:val="none" w:sz="0" w:space="0" w:color="auto"/>
                                    <w:left w:val="none" w:sz="0" w:space="0" w:color="auto"/>
                                    <w:bottom w:val="none" w:sz="0" w:space="0" w:color="auto"/>
                                    <w:right w:val="none" w:sz="0" w:space="0" w:color="auto"/>
                                  </w:divBdr>
                                  <w:divsChild>
                                    <w:div w:id="980770669">
                                      <w:marLeft w:val="0"/>
                                      <w:marRight w:val="0"/>
                                      <w:marTop w:val="150"/>
                                      <w:marBottom w:val="100"/>
                                      <w:divBdr>
                                        <w:top w:val="none" w:sz="0" w:space="0" w:color="auto"/>
                                        <w:left w:val="none" w:sz="0" w:space="0" w:color="auto"/>
                                        <w:bottom w:val="none" w:sz="0" w:space="0" w:color="auto"/>
                                        <w:right w:val="none" w:sz="0" w:space="0" w:color="auto"/>
                                      </w:divBdr>
                                      <w:divsChild>
                                        <w:div w:id="956370636">
                                          <w:marLeft w:val="0"/>
                                          <w:marRight w:val="0"/>
                                          <w:marTop w:val="0"/>
                                          <w:marBottom w:val="0"/>
                                          <w:divBdr>
                                            <w:top w:val="none" w:sz="0" w:space="0" w:color="auto"/>
                                            <w:left w:val="none" w:sz="0" w:space="0" w:color="auto"/>
                                            <w:bottom w:val="none" w:sz="0" w:space="0" w:color="auto"/>
                                            <w:right w:val="none" w:sz="0" w:space="0" w:color="auto"/>
                                          </w:divBdr>
                                          <w:divsChild>
                                            <w:div w:id="680622804">
                                              <w:marLeft w:val="0"/>
                                              <w:marRight w:val="0"/>
                                              <w:marTop w:val="0"/>
                                              <w:marBottom w:val="0"/>
                                              <w:divBdr>
                                                <w:top w:val="none" w:sz="0" w:space="0" w:color="auto"/>
                                                <w:left w:val="none" w:sz="0" w:space="0" w:color="auto"/>
                                                <w:bottom w:val="none" w:sz="0" w:space="0" w:color="auto"/>
                                                <w:right w:val="none" w:sz="0" w:space="0" w:color="auto"/>
                                              </w:divBdr>
                                              <w:divsChild>
                                                <w:div w:id="10048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3332">
      <w:bodyDiv w:val="1"/>
      <w:marLeft w:val="0"/>
      <w:marRight w:val="0"/>
      <w:marTop w:val="0"/>
      <w:marBottom w:val="0"/>
      <w:divBdr>
        <w:top w:val="none" w:sz="0" w:space="0" w:color="auto"/>
        <w:left w:val="none" w:sz="0" w:space="0" w:color="auto"/>
        <w:bottom w:val="none" w:sz="0" w:space="0" w:color="auto"/>
        <w:right w:val="none" w:sz="0" w:space="0" w:color="auto"/>
      </w:divBdr>
    </w:div>
    <w:div w:id="1391492198">
      <w:bodyDiv w:val="1"/>
      <w:marLeft w:val="0"/>
      <w:marRight w:val="0"/>
      <w:marTop w:val="0"/>
      <w:marBottom w:val="0"/>
      <w:divBdr>
        <w:top w:val="none" w:sz="0" w:space="0" w:color="auto"/>
        <w:left w:val="none" w:sz="0" w:space="0" w:color="auto"/>
        <w:bottom w:val="none" w:sz="0" w:space="0" w:color="auto"/>
        <w:right w:val="none" w:sz="0" w:space="0" w:color="auto"/>
      </w:divBdr>
    </w:div>
    <w:div w:id="1412048587">
      <w:bodyDiv w:val="1"/>
      <w:marLeft w:val="0"/>
      <w:marRight w:val="0"/>
      <w:marTop w:val="0"/>
      <w:marBottom w:val="0"/>
      <w:divBdr>
        <w:top w:val="none" w:sz="0" w:space="0" w:color="auto"/>
        <w:left w:val="none" w:sz="0" w:space="0" w:color="auto"/>
        <w:bottom w:val="none" w:sz="0" w:space="0" w:color="auto"/>
        <w:right w:val="none" w:sz="0" w:space="0" w:color="auto"/>
      </w:divBdr>
    </w:div>
    <w:div w:id="1424107964">
      <w:bodyDiv w:val="1"/>
      <w:marLeft w:val="0"/>
      <w:marRight w:val="0"/>
      <w:marTop w:val="0"/>
      <w:marBottom w:val="0"/>
      <w:divBdr>
        <w:top w:val="none" w:sz="0" w:space="0" w:color="auto"/>
        <w:left w:val="none" w:sz="0" w:space="0" w:color="auto"/>
        <w:bottom w:val="none" w:sz="0" w:space="0" w:color="auto"/>
        <w:right w:val="none" w:sz="0" w:space="0" w:color="auto"/>
      </w:divBdr>
      <w:divsChild>
        <w:div w:id="1041906190">
          <w:marLeft w:val="0"/>
          <w:marRight w:val="0"/>
          <w:marTop w:val="0"/>
          <w:marBottom w:val="0"/>
          <w:divBdr>
            <w:top w:val="none" w:sz="0" w:space="0" w:color="auto"/>
            <w:left w:val="none" w:sz="0" w:space="0" w:color="auto"/>
            <w:bottom w:val="none" w:sz="0" w:space="0" w:color="auto"/>
            <w:right w:val="none" w:sz="0" w:space="0" w:color="auto"/>
          </w:divBdr>
          <w:divsChild>
            <w:div w:id="704209495">
              <w:marLeft w:val="0"/>
              <w:marRight w:val="0"/>
              <w:marTop w:val="0"/>
              <w:marBottom w:val="0"/>
              <w:divBdr>
                <w:top w:val="none" w:sz="0" w:space="0" w:color="auto"/>
                <w:left w:val="none" w:sz="0" w:space="0" w:color="auto"/>
                <w:bottom w:val="none" w:sz="0" w:space="0" w:color="auto"/>
                <w:right w:val="none" w:sz="0" w:space="0" w:color="auto"/>
              </w:divBdr>
              <w:divsChild>
                <w:div w:id="2959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2119">
      <w:bodyDiv w:val="1"/>
      <w:marLeft w:val="0"/>
      <w:marRight w:val="0"/>
      <w:marTop w:val="0"/>
      <w:marBottom w:val="0"/>
      <w:divBdr>
        <w:top w:val="none" w:sz="0" w:space="0" w:color="auto"/>
        <w:left w:val="none" w:sz="0" w:space="0" w:color="auto"/>
        <w:bottom w:val="none" w:sz="0" w:space="0" w:color="auto"/>
        <w:right w:val="none" w:sz="0" w:space="0" w:color="auto"/>
      </w:divBdr>
    </w:div>
    <w:div w:id="1763796914">
      <w:bodyDiv w:val="1"/>
      <w:marLeft w:val="0"/>
      <w:marRight w:val="0"/>
      <w:marTop w:val="0"/>
      <w:marBottom w:val="0"/>
      <w:divBdr>
        <w:top w:val="none" w:sz="0" w:space="0" w:color="auto"/>
        <w:left w:val="none" w:sz="0" w:space="0" w:color="auto"/>
        <w:bottom w:val="none" w:sz="0" w:space="0" w:color="auto"/>
        <w:right w:val="none" w:sz="0" w:space="0" w:color="auto"/>
      </w:divBdr>
    </w:div>
    <w:div w:id="1823354260">
      <w:bodyDiv w:val="1"/>
      <w:marLeft w:val="0"/>
      <w:marRight w:val="0"/>
      <w:marTop w:val="0"/>
      <w:marBottom w:val="0"/>
      <w:divBdr>
        <w:top w:val="none" w:sz="0" w:space="0" w:color="auto"/>
        <w:left w:val="none" w:sz="0" w:space="0" w:color="auto"/>
        <w:bottom w:val="none" w:sz="0" w:space="0" w:color="auto"/>
        <w:right w:val="none" w:sz="0" w:space="0" w:color="auto"/>
      </w:divBdr>
      <w:divsChild>
        <w:div w:id="1909727611">
          <w:marLeft w:val="0"/>
          <w:marRight w:val="0"/>
          <w:marTop w:val="0"/>
          <w:marBottom w:val="0"/>
          <w:divBdr>
            <w:top w:val="none" w:sz="0" w:space="0" w:color="auto"/>
            <w:left w:val="none" w:sz="0" w:space="0" w:color="auto"/>
            <w:bottom w:val="none" w:sz="0" w:space="0" w:color="auto"/>
            <w:right w:val="none" w:sz="0" w:space="0" w:color="auto"/>
          </w:divBdr>
          <w:divsChild>
            <w:div w:id="464587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1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u="sng"/>
            </a:pPr>
            <a:r>
              <a:rPr lang="en-GB" sz="800" b="1" u="sng"/>
              <a:t>CYP</a:t>
            </a:r>
            <a:r>
              <a:rPr lang="en-GB" sz="800" b="1" u="sng" baseline="0"/>
              <a:t> entering care by Age Breakdown </a:t>
            </a:r>
            <a:endParaRPr lang="en-GB" sz="800" b="1" u="sng"/>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Sheet1!$A$44:$A$48</c:f>
              <c:strCache>
                <c:ptCount val="5"/>
                <c:pt idx="0">
                  <c:v>Under 1 </c:v>
                </c:pt>
                <c:pt idx="1">
                  <c:v>1 to 4 </c:v>
                </c:pt>
                <c:pt idx="2">
                  <c:v>5 to 9</c:v>
                </c:pt>
                <c:pt idx="3">
                  <c:v>10 to 15 </c:v>
                </c:pt>
                <c:pt idx="4">
                  <c:v>16 and Over </c:v>
                </c:pt>
              </c:strCache>
            </c:strRef>
          </c:cat>
          <c:val>
            <c:numRef>
              <c:f>Sheet1!$B$44:$B$48</c:f>
              <c:numCache>
                <c:formatCode>General</c:formatCode>
                <c:ptCount val="5"/>
                <c:pt idx="0">
                  <c:v>13</c:v>
                </c:pt>
                <c:pt idx="1">
                  <c:v>61</c:v>
                </c:pt>
                <c:pt idx="2">
                  <c:v>32</c:v>
                </c:pt>
                <c:pt idx="3">
                  <c:v>46</c:v>
                </c:pt>
                <c:pt idx="4">
                  <c:v>53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u="sng"/>
            </a:pPr>
            <a:r>
              <a:rPr lang="en-GB" sz="800" b="1" u="sng"/>
              <a:t>CYP</a:t>
            </a:r>
            <a:r>
              <a:rPr lang="en-GB" sz="800" b="1" u="sng" baseline="0"/>
              <a:t> entering care by Age Breakdown </a:t>
            </a:r>
            <a:endParaRPr lang="en-GB" sz="800" b="1" u="sng"/>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Sheet1!$A$44:$A$48</c:f>
              <c:strCache>
                <c:ptCount val="5"/>
                <c:pt idx="0">
                  <c:v>Under 1 </c:v>
                </c:pt>
                <c:pt idx="1">
                  <c:v>1 to 4 </c:v>
                </c:pt>
                <c:pt idx="2">
                  <c:v>5 to 9</c:v>
                </c:pt>
                <c:pt idx="3">
                  <c:v>10 to 15 </c:v>
                </c:pt>
                <c:pt idx="4">
                  <c:v>16 and Over </c:v>
                </c:pt>
              </c:strCache>
            </c:strRef>
          </c:cat>
          <c:val>
            <c:numRef>
              <c:f>Sheet1!$B$44:$B$48</c:f>
              <c:numCache>
                <c:formatCode>General</c:formatCode>
                <c:ptCount val="5"/>
                <c:pt idx="0">
                  <c:v>13</c:v>
                </c:pt>
                <c:pt idx="1">
                  <c:v>61</c:v>
                </c:pt>
                <c:pt idx="2">
                  <c:v>32</c:v>
                </c:pt>
                <c:pt idx="3">
                  <c:v>46</c:v>
                </c:pt>
                <c:pt idx="4">
                  <c:v>53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CYP who</a:t>
            </a:r>
            <a:r>
              <a:rPr lang="en-GB" sz="1000" baseline="0"/>
              <a:t> entered care year ending 31st March 2013 breakdown by Gender </a:t>
            </a:r>
            <a:r>
              <a:rPr lang="en-GB" baseline="0"/>
              <a:t> </a:t>
            </a:r>
            <a:endParaRPr lang="en-GB"/>
          </a:p>
        </c:rich>
      </c:tx>
      <c:layout>
        <c:manualLayout>
          <c:xMode val="edge"/>
          <c:yMode val="edge"/>
          <c:x val="0.10034711286089239"/>
          <c:y val="4.1152263374485597E-2"/>
        </c:manualLayout>
      </c:layout>
      <c:overlay val="0"/>
    </c:title>
    <c:autoTitleDeleted val="0"/>
    <c:plotArea>
      <c:layout/>
      <c:barChart>
        <c:barDir val="col"/>
        <c:grouping val="clustered"/>
        <c:varyColors val="0"/>
        <c:ser>
          <c:idx val="0"/>
          <c:order val="0"/>
          <c:tx>
            <c:strRef>
              <c:f>Sheet1!$F$32</c:f>
              <c:strCache>
                <c:ptCount val="1"/>
                <c:pt idx="0">
                  <c:v>Females</c:v>
                </c:pt>
              </c:strCache>
            </c:strRef>
          </c:tx>
          <c:invertIfNegative val="0"/>
          <c:dLbls>
            <c:dLbl>
              <c:idx val="0"/>
              <c:layout>
                <c:manualLayout>
                  <c:x val="1.2731334408019993E-17"/>
                  <c:y val="0.10810026451530792"/>
                </c:manualLayout>
              </c:layout>
              <c:showLegendKey val="0"/>
              <c:showVal val="1"/>
              <c:showCatName val="0"/>
              <c:showSerName val="0"/>
              <c:showPercent val="0"/>
              <c:showBubbleSize val="0"/>
            </c:dLbl>
            <c:dLbl>
              <c:idx val="1"/>
              <c:layout>
                <c:manualLayout>
                  <c:x val="0"/>
                  <c:y val="0.12869079108965228"/>
                </c:manualLayout>
              </c:layout>
              <c:showLegendKey val="0"/>
              <c:showVal val="1"/>
              <c:showCatName val="0"/>
              <c:showSerName val="0"/>
              <c:showPercent val="0"/>
              <c:showBubbleSize val="0"/>
            </c:dLbl>
            <c:dLbl>
              <c:idx val="2"/>
              <c:layout>
                <c:manualLayout>
                  <c:x val="0"/>
                  <c:y val="0.13383842273323837"/>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0"/>
                  <c:y val="0.1595765809511688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Sheet1!$F$33:$F$37</c:f>
              <c:numCache>
                <c:formatCode>General</c:formatCode>
                <c:ptCount val="5"/>
                <c:pt idx="0">
                  <c:v>8</c:v>
                </c:pt>
                <c:pt idx="1">
                  <c:v>27</c:v>
                </c:pt>
                <c:pt idx="2">
                  <c:v>16</c:v>
                </c:pt>
                <c:pt idx="3">
                  <c:v>20</c:v>
                </c:pt>
                <c:pt idx="4">
                  <c:v>24</c:v>
                </c:pt>
              </c:numCache>
            </c:numRef>
          </c:val>
        </c:ser>
        <c:ser>
          <c:idx val="1"/>
          <c:order val="1"/>
          <c:tx>
            <c:strRef>
              <c:f>Sheet1!$G$32</c:f>
              <c:strCache>
                <c:ptCount val="1"/>
                <c:pt idx="0">
                  <c:v>Males </c:v>
                </c:pt>
              </c:strCache>
            </c:strRef>
          </c:tx>
          <c:invertIfNegative val="0"/>
          <c:dLbls>
            <c:dLbl>
              <c:idx val="0"/>
              <c:layout>
                <c:manualLayout>
                  <c:x val="0"/>
                  <c:y val="7.7214474653791373E-2"/>
                </c:manualLayout>
              </c:layout>
              <c:showLegendKey val="0"/>
              <c:showVal val="1"/>
              <c:showCatName val="0"/>
              <c:showSerName val="0"/>
              <c:showPercent val="0"/>
              <c:showBubbleSize val="0"/>
            </c:dLbl>
            <c:dLbl>
              <c:idx val="1"/>
              <c:layout>
                <c:manualLayout>
                  <c:x val="0"/>
                  <c:y val="0.13898605437682446"/>
                </c:manualLayout>
              </c:layout>
              <c:showLegendKey val="0"/>
              <c:showVal val="1"/>
              <c:showCatName val="0"/>
              <c:showSerName val="0"/>
              <c:showPercent val="0"/>
              <c:showBubbleSize val="0"/>
            </c:dLbl>
            <c:dLbl>
              <c:idx val="2"/>
              <c:layout>
                <c:manualLayout>
                  <c:x val="2.7777777777777779E-3"/>
                  <c:y val="0.13898605437682446"/>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2.777777777777676E-3"/>
                  <c:y val="0.1286907910896522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Sheet1!$G$33:$G$37</c:f>
              <c:numCache>
                <c:formatCode>General</c:formatCode>
                <c:ptCount val="5"/>
                <c:pt idx="0">
                  <c:v>5</c:v>
                </c:pt>
                <c:pt idx="1">
                  <c:v>34</c:v>
                </c:pt>
                <c:pt idx="2">
                  <c:v>16</c:v>
                </c:pt>
                <c:pt idx="3">
                  <c:v>26</c:v>
                </c:pt>
                <c:pt idx="4">
                  <c:v>29</c:v>
                </c:pt>
              </c:numCache>
            </c:numRef>
          </c:val>
        </c:ser>
        <c:dLbls>
          <c:showLegendKey val="0"/>
          <c:showVal val="0"/>
          <c:showCatName val="0"/>
          <c:showSerName val="0"/>
          <c:showPercent val="0"/>
          <c:showBubbleSize val="0"/>
        </c:dLbls>
        <c:gapWidth val="75"/>
        <c:overlap val="-25"/>
        <c:axId val="127136128"/>
        <c:axId val="127137664"/>
      </c:barChart>
      <c:catAx>
        <c:axId val="127136128"/>
        <c:scaling>
          <c:orientation val="minMax"/>
        </c:scaling>
        <c:delete val="0"/>
        <c:axPos val="b"/>
        <c:majorTickMark val="none"/>
        <c:minorTickMark val="none"/>
        <c:tickLblPos val="nextTo"/>
        <c:crossAx val="127137664"/>
        <c:crosses val="autoZero"/>
        <c:auto val="1"/>
        <c:lblAlgn val="ctr"/>
        <c:lblOffset val="100"/>
        <c:noMultiLvlLbl val="0"/>
      </c:catAx>
      <c:valAx>
        <c:axId val="127137664"/>
        <c:scaling>
          <c:orientation val="minMax"/>
        </c:scaling>
        <c:delete val="0"/>
        <c:axPos val="l"/>
        <c:majorGridlines/>
        <c:numFmt formatCode="General" sourceLinked="1"/>
        <c:majorTickMark val="none"/>
        <c:minorTickMark val="none"/>
        <c:tickLblPos val="nextTo"/>
        <c:spPr>
          <a:ln w="9525">
            <a:noFill/>
          </a:ln>
        </c:spPr>
        <c:crossAx val="1271361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30E9-EFB3-48CE-A75B-1BAABBDE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7105</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White</dc:creator>
  <cp:lastModifiedBy>Helen Bowler</cp:lastModifiedBy>
  <cp:revision>2</cp:revision>
  <cp:lastPrinted>2013-12-03T11:05:00Z</cp:lastPrinted>
  <dcterms:created xsi:type="dcterms:W3CDTF">2015-05-07T15:04:00Z</dcterms:created>
  <dcterms:modified xsi:type="dcterms:W3CDTF">2015-05-07T15:04:00Z</dcterms:modified>
</cp:coreProperties>
</file>