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15" w:rsidRDefault="003C1815" w:rsidP="004037D7">
      <w:bookmarkStart w:id="0" w:name="_GoBack"/>
      <w:bookmarkEnd w:id="0"/>
      <w:r>
        <w:t xml:space="preserve">Dear </w:t>
      </w:r>
      <w:r w:rsidR="00C43284">
        <w:t>Local Authority FOI Officer,</w:t>
      </w:r>
    </w:p>
    <w:p w:rsidR="001E78A0" w:rsidRDefault="003C1815" w:rsidP="003C1815">
      <w:r w:rsidRPr="003C1815">
        <w:t xml:space="preserve">I am writing to request some information under the Freedom of Information Act </w:t>
      </w:r>
      <w:r w:rsidR="008C23B8">
        <w:t xml:space="preserve">2000 </w:t>
      </w:r>
      <w:r w:rsidRPr="003C1815">
        <w:t>about your</w:t>
      </w:r>
      <w:r>
        <w:t xml:space="preserve"> </w:t>
      </w:r>
      <w:r w:rsidR="00B61A4E">
        <w:t xml:space="preserve">local authority’s </w:t>
      </w:r>
      <w:r>
        <w:t>use of the Court of Protection</w:t>
      </w:r>
      <w:r w:rsidR="00E97A6F">
        <w:t>.  The information is</w:t>
      </w:r>
      <w:r w:rsidRPr="003C1815">
        <w:t xml:space="preserve"> for a research project</w:t>
      </w:r>
      <w:r w:rsidR="00FA0733">
        <w:t xml:space="preserve"> </w:t>
      </w:r>
      <w:r w:rsidR="0088051A">
        <w:t>examining</w:t>
      </w:r>
      <w:r w:rsidR="00FA0733">
        <w:t xml:space="preserve"> the impact of the Mental Capacity Act 2005 and the deprivation of liberty safeguards on public authorities</w:t>
      </w:r>
      <w:r w:rsidR="008C287F">
        <w:t xml:space="preserve">, including the impact </w:t>
      </w:r>
      <w:r w:rsidR="001E78A0">
        <w:t xml:space="preserve">on local authorities </w:t>
      </w:r>
      <w:r w:rsidR="008C287F">
        <w:t xml:space="preserve">of </w:t>
      </w:r>
      <w:r w:rsidR="008C287F" w:rsidRPr="008C287F">
        <w:rPr>
          <w:i/>
          <w:iCs/>
        </w:rPr>
        <w:t>P v Cheshire West and Chester Council and another</w:t>
      </w:r>
      <w:r w:rsidR="008C287F">
        <w:rPr>
          <w:i/>
          <w:iCs/>
        </w:rPr>
        <w:t xml:space="preserve"> </w:t>
      </w:r>
      <w:r w:rsidR="008C287F" w:rsidRPr="008C287F">
        <w:rPr>
          <w:iCs/>
        </w:rPr>
        <w:t>and</w:t>
      </w:r>
      <w:r w:rsidR="008C287F">
        <w:rPr>
          <w:i/>
          <w:iCs/>
        </w:rPr>
        <w:t xml:space="preserve"> </w:t>
      </w:r>
      <w:r w:rsidR="008C287F">
        <w:rPr>
          <w:i/>
        </w:rPr>
        <w:t>Re X</w:t>
      </w:r>
      <w:r w:rsidRPr="003C1815">
        <w:t>.  </w:t>
      </w:r>
      <w:r w:rsidR="0088051A">
        <w:t xml:space="preserve">We want to gather evidence on how </w:t>
      </w:r>
      <w:r w:rsidR="005D0087">
        <w:t>often local authorities use the Court of Protection</w:t>
      </w:r>
      <w:r w:rsidR="001E78A0">
        <w:t xml:space="preserve">, </w:t>
      </w:r>
      <w:r w:rsidR="005D0087">
        <w:t xml:space="preserve">how </w:t>
      </w:r>
      <w:r w:rsidR="0088051A">
        <w:t xml:space="preserve">much it costs </w:t>
      </w:r>
      <w:r w:rsidR="005D0087">
        <w:t>them</w:t>
      </w:r>
      <w:r w:rsidR="001E78A0">
        <w:t xml:space="preserve"> and how long it takes</w:t>
      </w:r>
      <w:r w:rsidR="0088051A">
        <w:t xml:space="preserve">.  </w:t>
      </w:r>
      <w:r w:rsidR="008C287F">
        <w:t>We conducted a similar study for the year 2013-14, and you can read our findings online at:</w:t>
      </w:r>
    </w:p>
    <w:p w:rsidR="003C1815" w:rsidRDefault="002F79A8" w:rsidP="005754BB">
      <w:pPr>
        <w:ind w:firstLine="720"/>
      </w:pPr>
      <w:hyperlink r:id="rId9" w:history="1">
        <w:r w:rsidR="008C287F" w:rsidRPr="00FF60A4">
          <w:rPr>
            <w:rStyle w:val="Hyperlink"/>
          </w:rPr>
          <w:t>http://sites.cardiff.ac.uk/wccop/local-authorities-in-the-court-of-protection-new-research/</w:t>
        </w:r>
      </w:hyperlink>
    </w:p>
    <w:p w:rsidR="00FA0733" w:rsidRPr="00FA0733" w:rsidRDefault="009E42AC" w:rsidP="003C1815">
      <w:r>
        <w:t>I</w:t>
      </w:r>
      <w:r w:rsidR="00FA0733">
        <w:t xml:space="preserve"> would like to know about welfare cases for the year </w:t>
      </w:r>
      <w:r w:rsidR="00FA0733">
        <w:rPr>
          <w:b/>
        </w:rPr>
        <w:t>April 1</w:t>
      </w:r>
      <w:r w:rsidR="00FA0733" w:rsidRPr="00FA0733">
        <w:rPr>
          <w:b/>
          <w:vertAlign w:val="superscript"/>
        </w:rPr>
        <w:t>st</w:t>
      </w:r>
      <w:r w:rsidR="008C287F">
        <w:rPr>
          <w:b/>
        </w:rPr>
        <w:t xml:space="preserve"> 2014 – March 31 2015</w:t>
      </w:r>
      <w:r w:rsidR="00FA0733">
        <w:t xml:space="preserve">.  By ‘welfare’ cases, I mean any cases before the Court of Protection which are </w:t>
      </w:r>
      <w:r w:rsidR="00FA0733">
        <w:rPr>
          <w:i/>
        </w:rPr>
        <w:t xml:space="preserve">not </w:t>
      </w:r>
      <w:r w:rsidR="00FA0733">
        <w:t>about a person’s property and affairs</w:t>
      </w:r>
      <w:r w:rsidR="00C94B20">
        <w:t xml:space="preserve"> (or a property and affairs deputyship on its own)</w:t>
      </w:r>
      <w:r>
        <w:t>, but which could include matters about where a person lives, who they have contact with, any possible deprivation of liberty, medical treatments</w:t>
      </w:r>
      <w:r w:rsidR="00C94B20">
        <w:t>, welfare deputyship applications</w:t>
      </w:r>
      <w:r w:rsidR="00C94B20">
        <w:rPr>
          <w:rStyle w:val="FootnoteReference"/>
        </w:rPr>
        <w:footnoteReference w:id="1"/>
      </w:r>
      <w:r w:rsidR="00C94B20">
        <w:t>,</w:t>
      </w:r>
      <w:r>
        <w:t xml:space="preserve"> and other welfare matters.</w:t>
      </w:r>
    </w:p>
    <w:p w:rsidR="003C1815" w:rsidRDefault="003C1815" w:rsidP="003C1815">
      <w:r w:rsidRPr="003C1815">
        <w:t>I have put together a list of questions</w:t>
      </w:r>
      <w:r w:rsidR="001E78A0">
        <w:t>.  I</w:t>
      </w:r>
      <w:r w:rsidRPr="003C1815">
        <w:t>f it is possible within the resource limit of this request, I would appreciate it if you could answer these questions </w:t>
      </w:r>
      <w:r w:rsidRPr="003C1815">
        <w:rPr>
          <w:i/>
          <w:iCs/>
        </w:rPr>
        <w:t>for each case</w:t>
      </w:r>
      <w:r w:rsidR="007425F5">
        <w:rPr>
          <w:i/>
          <w:iCs/>
        </w:rPr>
        <w:t xml:space="preserve"> in the Court of Protection</w:t>
      </w:r>
      <w:r w:rsidR="00A8287A">
        <w:rPr>
          <w:i/>
          <w:iCs/>
        </w:rPr>
        <w:t xml:space="preserve"> for </w:t>
      </w:r>
      <w:r w:rsidR="001E78A0">
        <w:rPr>
          <w:i/>
          <w:iCs/>
        </w:rPr>
        <w:t>the year 2014-15</w:t>
      </w:r>
      <w:r w:rsidRPr="003C1815">
        <w:t xml:space="preserve">.  I have put this in </w:t>
      </w:r>
      <w:r>
        <w:t xml:space="preserve">table </w:t>
      </w:r>
      <w:r w:rsidRPr="003C1815">
        <w:t xml:space="preserve">form </w:t>
      </w:r>
      <w:r>
        <w:t xml:space="preserve">at the bottom of this letter </w:t>
      </w:r>
      <w:r w:rsidR="001E78A0">
        <w:t xml:space="preserve">to make it </w:t>
      </w:r>
      <w:r w:rsidRPr="003C1815">
        <w:t xml:space="preserve">easier to </w:t>
      </w:r>
      <w:r w:rsidR="0054187E">
        <w:t>answer the questions that way and to make it easier to understand the kind of information I am asking for.</w:t>
      </w:r>
    </w:p>
    <w:p w:rsidR="003C1815" w:rsidRPr="00E13B02" w:rsidRDefault="003C1815" w:rsidP="003C1815">
      <w:pPr>
        <w:rPr>
          <w:b/>
        </w:rPr>
      </w:pPr>
      <w:r w:rsidRPr="00E13B02">
        <w:rPr>
          <w:b/>
        </w:rPr>
        <w:t>It may not be possible to answer all of these questions within the resource limit, in which case, they are given in order of priority</w:t>
      </w:r>
      <w:r w:rsidR="00995B03">
        <w:rPr>
          <w:b/>
        </w:rPr>
        <w:t>.  P</w:t>
      </w:r>
      <w:r w:rsidRPr="00E13B02">
        <w:rPr>
          <w:b/>
        </w:rPr>
        <w:t>lease could you answer them in that order</w:t>
      </w:r>
      <w:r w:rsidR="00995B03">
        <w:rPr>
          <w:b/>
        </w:rPr>
        <w:t xml:space="preserve">, stopping when you reach the resource </w:t>
      </w:r>
      <w:proofErr w:type="gramStart"/>
      <w:r w:rsidR="00995B03">
        <w:rPr>
          <w:b/>
        </w:rPr>
        <w:t>limit</w:t>
      </w:r>
      <w:r w:rsidRPr="00E13B02">
        <w:rPr>
          <w:b/>
        </w:rPr>
        <w:t>.</w:t>
      </w:r>
      <w:proofErr w:type="gramEnd"/>
    </w:p>
    <w:p w:rsidR="00BC6CDE" w:rsidRDefault="0054187E" w:rsidP="0054187E">
      <w:r>
        <w:t>If you have any questions about this request for information, please do not hesitate to contact me.</w:t>
      </w:r>
      <w:r w:rsidR="00986B88">
        <w:t xml:space="preserve">  </w:t>
      </w:r>
      <w:r w:rsidR="00BC6CDE">
        <w:t>I would like to thank you in advance for your assistance in responding to our request for information.</w:t>
      </w:r>
      <w:r w:rsidR="00614953">
        <w:t xml:space="preserve">  </w:t>
      </w:r>
    </w:p>
    <w:p w:rsidR="00E13B02" w:rsidRPr="00E426D3" w:rsidRDefault="00E13B02" w:rsidP="00E13B02">
      <w:pPr>
        <w:rPr>
          <w:b/>
        </w:rPr>
      </w:pPr>
      <w:r w:rsidRPr="00E426D3">
        <w:rPr>
          <w:b/>
        </w:rPr>
        <w:t>Please give answers only for cases which were commenced or ongoing during 1</w:t>
      </w:r>
      <w:r w:rsidRPr="00E426D3">
        <w:rPr>
          <w:b/>
          <w:vertAlign w:val="superscript"/>
        </w:rPr>
        <w:t>st</w:t>
      </w:r>
      <w:r w:rsidR="00207CBF">
        <w:rPr>
          <w:b/>
        </w:rPr>
        <w:t xml:space="preserve"> April 2014</w:t>
      </w:r>
      <w:r w:rsidRPr="00E426D3">
        <w:rPr>
          <w:b/>
        </w:rPr>
        <w:t xml:space="preserve"> - 31</w:t>
      </w:r>
      <w:r w:rsidRPr="00E426D3">
        <w:rPr>
          <w:b/>
          <w:vertAlign w:val="superscript"/>
        </w:rPr>
        <w:t>st</w:t>
      </w:r>
      <w:r w:rsidR="00207CBF">
        <w:rPr>
          <w:b/>
        </w:rPr>
        <w:t xml:space="preserve"> March 2015</w:t>
      </w:r>
      <w:r w:rsidR="00FB70FC">
        <w:rPr>
          <w:b/>
        </w:rPr>
        <w:t xml:space="preserve"> </w:t>
      </w:r>
      <w:r w:rsidR="00E21DF1">
        <w:rPr>
          <w:b/>
        </w:rPr>
        <w:t xml:space="preserve">where </w:t>
      </w:r>
      <w:r w:rsidR="00FB70FC">
        <w:rPr>
          <w:b/>
        </w:rPr>
        <w:t>you were a party</w:t>
      </w:r>
      <w:r w:rsidR="00E21DF1">
        <w:rPr>
          <w:b/>
        </w:rPr>
        <w:t xml:space="preserve"> to the proceedings</w:t>
      </w:r>
      <w:r w:rsidRPr="00E426D3">
        <w:rPr>
          <w:b/>
        </w:rPr>
        <w:t>.</w:t>
      </w:r>
    </w:p>
    <w:p w:rsidR="00E13B02" w:rsidRDefault="00E13B02" w:rsidP="00E13B02">
      <w:pPr>
        <w:rPr>
          <w:b/>
        </w:rPr>
      </w:pPr>
      <w:r w:rsidRPr="00E13B02">
        <w:rPr>
          <w:b/>
        </w:rPr>
        <w:t>It may not be possible to answer all of these questions within the resource limit, in which case, they are given in order of priority and please could you answer them in that order.</w:t>
      </w:r>
    </w:p>
    <w:p w:rsidR="007262DE" w:rsidRDefault="007262DE" w:rsidP="007262DE">
      <w:pPr>
        <w:pStyle w:val="ListParagraph"/>
        <w:numPr>
          <w:ilvl w:val="0"/>
          <w:numId w:val="5"/>
        </w:numPr>
        <w:spacing w:after="160" w:line="259" w:lineRule="auto"/>
      </w:pPr>
      <w:r>
        <w:t>How many welfare cases in the Court of Protection was your local authority a party to during 2014-15?</w:t>
      </w:r>
    </w:p>
    <w:p w:rsidR="00EC7A9F" w:rsidRDefault="00EC7A9F" w:rsidP="00EC7A9F">
      <w:pPr>
        <w:pStyle w:val="ListParagraph"/>
        <w:spacing w:after="160" w:line="259" w:lineRule="auto"/>
      </w:pPr>
    </w:p>
    <w:p w:rsidR="00EC7A9F" w:rsidRPr="00EC7A9F" w:rsidRDefault="00EC7A9F" w:rsidP="00EC7A9F">
      <w:pPr>
        <w:pStyle w:val="ListParagraph"/>
        <w:spacing w:after="160" w:line="259" w:lineRule="auto"/>
        <w:rPr>
          <w:color w:val="0000FF"/>
        </w:rPr>
      </w:pPr>
      <w:r w:rsidRPr="00EC7A9F">
        <w:rPr>
          <w:color w:val="0000FF"/>
        </w:rPr>
        <w:t>Total 7</w:t>
      </w:r>
    </w:p>
    <w:p w:rsidR="00EC7A9F" w:rsidRDefault="00EC7A9F" w:rsidP="00EC7A9F">
      <w:pPr>
        <w:pStyle w:val="ListParagraph"/>
        <w:spacing w:after="160" w:line="259" w:lineRule="auto"/>
      </w:pPr>
    </w:p>
    <w:p w:rsidR="007262DE" w:rsidRDefault="007262DE" w:rsidP="007262DE">
      <w:pPr>
        <w:pStyle w:val="ListParagraph"/>
        <w:numPr>
          <w:ilvl w:val="0"/>
          <w:numId w:val="5"/>
        </w:numPr>
        <w:spacing w:after="160" w:line="259" w:lineRule="auto"/>
      </w:pPr>
      <w:r>
        <w:t>Of those cases, how many were of the following kind</w:t>
      </w:r>
      <w:r w:rsidR="005E3AAE">
        <w:t>s</w:t>
      </w:r>
      <w:r>
        <w:t>:</w:t>
      </w:r>
    </w:p>
    <w:p w:rsidR="007262DE" w:rsidRDefault="007262DE" w:rsidP="007262DE">
      <w:pPr>
        <w:pStyle w:val="ListParagraph"/>
        <w:numPr>
          <w:ilvl w:val="1"/>
          <w:numId w:val="5"/>
        </w:numPr>
        <w:spacing w:after="160" w:line="259" w:lineRule="auto"/>
      </w:pPr>
      <w:r>
        <w:t xml:space="preserve">An application to authorise a deprivation of liberty in a setting not covered by the MCA DoLS, using the </w:t>
      </w:r>
      <w:r>
        <w:rPr>
          <w:i/>
        </w:rPr>
        <w:t xml:space="preserve">Re X </w:t>
      </w:r>
      <w:r w:rsidRPr="00D01E36">
        <w:t>streamline</w:t>
      </w:r>
      <w:r>
        <w:rPr>
          <w:i/>
        </w:rPr>
        <w:t xml:space="preserve"> </w:t>
      </w:r>
      <w:r>
        <w:t xml:space="preserve">procedure described in </w:t>
      </w:r>
      <w:r w:rsidRPr="00D01E36">
        <w:rPr>
          <w:i/>
          <w:iCs/>
        </w:rPr>
        <w:t>X &amp; Ors (Deprivation of Liberty)</w:t>
      </w:r>
      <w:r w:rsidRPr="00D01E36">
        <w:t xml:space="preserve"> [2014] EWCOP 25</w:t>
      </w:r>
      <w:r>
        <w:t xml:space="preserve"> and </w:t>
      </w:r>
      <w:r w:rsidRPr="00D01E36">
        <w:rPr>
          <w:i/>
          <w:iCs/>
        </w:rPr>
        <w:t>Re X and others (Deprivation of Liberty) (Number 2)</w:t>
      </w:r>
      <w:r w:rsidRPr="00D01E36">
        <w:t>[2014] EWCOP 37</w:t>
      </w:r>
    </w:p>
    <w:p w:rsidR="00EC7A9F" w:rsidRPr="00EC7A9F" w:rsidRDefault="00EC7A9F" w:rsidP="00EC7A9F">
      <w:pPr>
        <w:pStyle w:val="ListParagraph"/>
        <w:spacing w:after="160" w:line="259" w:lineRule="auto"/>
        <w:ind w:left="1440"/>
        <w:rPr>
          <w:color w:val="0000FF"/>
        </w:rPr>
      </w:pPr>
      <w:r w:rsidRPr="00EC7A9F">
        <w:rPr>
          <w:color w:val="0000FF"/>
        </w:rPr>
        <w:lastRenderedPageBreak/>
        <w:t>Total 2</w:t>
      </w:r>
    </w:p>
    <w:p w:rsidR="00EC7A9F" w:rsidRDefault="00EC7A9F" w:rsidP="00EC7A9F">
      <w:pPr>
        <w:pStyle w:val="ListParagraph"/>
        <w:spacing w:after="160" w:line="259" w:lineRule="auto"/>
        <w:ind w:left="1440"/>
      </w:pPr>
    </w:p>
    <w:p w:rsidR="007262DE" w:rsidRDefault="007262DE" w:rsidP="007262DE">
      <w:pPr>
        <w:pStyle w:val="ListParagraph"/>
        <w:numPr>
          <w:ilvl w:val="1"/>
          <w:numId w:val="5"/>
        </w:numPr>
        <w:spacing w:after="160" w:line="259" w:lineRule="auto"/>
      </w:pPr>
      <w:r>
        <w:t>An application to the Court of Protection to seek a review of a deprivation of liberty that was authorised</w:t>
      </w:r>
      <w:r w:rsidR="00C41A52">
        <w:t xml:space="preserve"> by</w:t>
      </w:r>
      <w:r>
        <w:t xml:space="preserve"> the local authority in its capacity as supervisory body</w:t>
      </w:r>
      <w:r w:rsidR="006A4196">
        <w:t xml:space="preserve"> </w:t>
      </w:r>
      <w:r w:rsidR="006A4196" w:rsidRPr="006A4196">
        <w:t>(either under s21A MCA or for declarations/orders under s15 and s16 MCA)</w:t>
      </w:r>
    </w:p>
    <w:p w:rsidR="00EC7A9F" w:rsidRPr="00EC7A9F" w:rsidRDefault="00EC7A9F" w:rsidP="00EC7A9F">
      <w:pPr>
        <w:pStyle w:val="ListParagraph"/>
        <w:spacing w:after="160" w:line="259" w:lineRule="auto"/>
        <w:ind w:left="1440"/>
        <w:rPr>
          <w:color w:val="0000FF"/>
        </w:rPr>
      </w:pPr>
    </w:p>
    <w:p w:rsidR="00EC7A9F" w:rsidRPr="00EC7A9F" w:rsidRDefault="00EC7A9F" w:rsidP="00EC7A9F">
      <w:pPr>
        <w:pStyle w:val="ListParagraph"/>
        <w:spacing w:after="160" w:line="259" w:lineRule="auto"/>
        <w:ind w:left="1440"/>
        <w:rPr>
          <w:color w:val="0000FF"/>
        </w:rPr>
      </w:pPr>
      <w:r w:rsidRPr="00EC7A9F">
        <w:rPr>
          <w:color w:val="0000FF"/>
        </w:rPr>
        <w:t>Total 2</w:t>
      </w:r>
    </w:p>
    <w:p w:rsidR="00EC7A9F" w:rsidRDefault="00EC7A9F" w:rsidP="00EC7A9F">
      <w:pPr>
        <w:pStyle w:val="ListParagraph"/>
        <w:spacing w:after="160" w:line="259" w:lineRule="auto"/>
        <w:ind w:left="1440"/>
      </w:pPr>
    </w:p>
    <w:p w:rsidR="007262DE" w:rsidRDefault="007262DE" w:rsidP="007262DE">
      <w:pPr>
        <w:pStyle w:val="ListParagraph"/>
        <w:numPr>
          <w:ilvl w:val="1"/>
          <w:numId w:val="5"/>
        </w:numPr>
        <w:spacing w:after="160" w:line="259" w:lineRule="auto"/>
      </w:pPr>
      <w:r>
        <w:t xml:space="preserve">An application relating to another welfare matter </w:t>
      </w:r>
      <w:r w:rsidR="005E3AAE">
        <w:t xml:space="preserve">about a </w:t>
      </w:r>
      <w:r>
        <w:t>person who is deprived of their liberty</w:t>
      </w:r>
    </w:p>
    <w:p w:rsidR="00EC7A9F" w:rsidRDefault="00EC7A9F" w:rsidP="00EC7A9F">
      <w:pPr>
        <w:pStyle w:val="ListParagraph"/>
        <w:spacing w:after="160" w:line="259" w:lineRule="auto"/>
        <w:ind w:left="1440"/>
      </w:pPr>
    </w:p>
    <w:p w:rsidR="00EC7A9F" w:rsidRPr="00EC7A9F" w:rsidRDefault="00EC7A9F" w:rsidP="00EC7A9F">
      <w:pPr>
        <w:pStyle w:val="ListParagraph"/>
        <w:spacing w:after="160" w:line="259" w:lineRule="auto"/>
        <w:ind w:left="1440"/>
        <w:rPr>
          <w:color w:val="0000FF"/>
        </w:rPr>
      </w:pPr>
      <w:r w:rsidRPr="00EC7A9F">
        <w:rPr>
          <w:color w:val="0000FF"/>
        </w:rPr>
        <w:t>Total 3</w:t>
      </w:r>
    </w:p>
    <w:p w:rsidR="00EC7A9F" w:rsidRPr="00EC7A9F" w:rsidRDefault="00EC7A9F" w:rsidP="00EC7A9F">
      <w:pPr>
        <w:pStyle w:val="ListParagraph"/>
        <w:spacing w:after="160" w:line="259" w:lineRule="auto"/>
        <w:ind w:left="1440"/>
        <w:rPr>
          <w:color w:val="0000FF"/>
        </w:rPr>
      </w:pPr>
    </w:p>
    <w:p w:rsidR="007262DE" w:rsidRDefault="007262DE" w:rsidP="007262DE">
      <w:pPr>
        <w:pStyle w:val="ListParagraph"/>
        <w:numPr>
          <w:ilvl w:val="1"/>
          <w:numId w:val="5"/>
        </w:numPr>
        <w:spacing w:after="160" w:line="259" w:lineRule="auto"/>
      </w:pPr>
      <w:r>
        <w:t>An application relating to another welfare matter that was not connected with any deprivation of liberty</w:t>
      </w:r>
    </w:p>
    <w:p w:rsidR="00EC7A9F" w:rsidRDefault="00EC7A9F" w:rsidP="00EC7A9F">
      <w:pPr>
        <w:pStyle w:val="ListParagraph"/>
        <w:spacing w:after="160" w:line="259" w:lineRule="auto"/>
        <w:ind w:left="1440"/>
      </w:pPr>
    </w:p>
    <w:p w:rsidR="00EC7A9F" w:rsidRPr="00EC7A9F" w:rsidRDefault="00EC7A9F" w:rsidP="00EC7A9F">
      <w:pPr>
        <w:pStyle w:val="ListParagraph"/>
        <w:spacing w:after="160" w:line="259" w:lineRule="auto"/>
        <w:ind w:left="1440"/>
        <w:rPr>
          <w:color w:val="0000FF"/>
        </w:rPr>
      </w:pPr>
      <w:r w:rsidRPr="00EC7A9F">
        <w:rPr>
          <w:color w:val="0000FF"/>
        </w:rPr>
        <w:t>Total 0</w:t>
      </w:r>
    </w:p>
    <w:p w:rsidR="00EC7A9F" w:rsidRDefault="00EC7A9F" w:rsidP="00EC7A9F">
      <w:pPr>
        <w:pStyle w:val="ListParagraph"/>
        <w:spacing w:after="160" w:line="259" w:lineRule="auto"/>
        <w:ind w:left="1440"/>
      </w:pPr>
    </w:p>
    <w:p w:rsidR="007262DE" w:rsidRDefault="007262DE" w:rsidP="007262DE">
      <w:pPr>
        <w:pStyle w:val="ListParagraph"/>
        <w:numPr>
          <w:ilvl w:val="1"/>
          <w:numId w:val="5"/>
        </w:numPr>
        <w:spacing w:after="160" w:line="259" w:lineRule="auto"/>
      </w:pPr>
      <w:r>
        <w:t>Other welfare cases not falling into the above categories</w:t>
      </w:r>
    </w:p>
    <w:p w:rsidR="00EC7A9F" w:rsidRDefault="00EC7A9F" w:rsidP="00EC7A9F">
      <w:pPr>
        <w:pStyle w:val="ListParagraph"/>
        <w:spacing w:after="160" w:line="259" w:lineRule="auto"/>
        <w:ind w:left="1440"/>
      </w:pPr>
    </w:p>
    <w:p w:rsidR="00EC7A9F" w:rsidRDefault="00120173" w:rsidP="00EC7A9F">
      <w:pPr>
        <w:pStyle w:val="ListParagraph"/>
        <w:spacing w:after="160" w:line="259" w:lineRule="auto"/>
        <w:ind w:left="1440"/>
        <w:rPr>
          <w:color w:val="0000FF"/>
        </w:rPr>
      </w:pPr>
      <w:r w:rsidRPr="00120173">
        <w:rPr>
          <w:color w:val="0000FF"/>
        </w:rPr>
        <w:t>Total 0</w:t>
      </w:r>
    </w:p>
    <w:p w:rsidR="00120173" w:rsidRPr="00120173" w:rsidRDefault="00120173" w:rsidP="00EC7A9F">
      <w:pPr>
        <w:pStyle w:val="ListParagraph"/>
        <w:spacing w:after="160" w:line="259" w:lineRule="auto"/>
        <w:ind w:left="1440"/>
        <w:rPr>
          <w:color w:val="0000FF"/>
        </w:rPr>
      </w:pPr>
    </w:p>
    <w:p w:rsidR="007262DE" w:rsidRDefault="007262DE" w:rsidP="007262DE">
      <w:pPr>
        <w:pStyle w:val="ListParagraph"/>
        <w:numPr>
          <w:ilvl w:val="0"/>
          <w:numId w:val="5"/>
        </w:numPr>
        <w:spacing w:after="160" w:line="259" w:lineRule="auto"/>
      </w:pPr>
      <w:r>
        <w:t xml:space="preserve">If it is possible to do so within the available resources, please could you tell us for each Court of Protection case you were involved in during 2014-15 the following </w:t>
      </w:r>
      <w:proofErr w:type="gramStart"/>
      <w:r>
        <w:t>information.</w:t>
      </w:r>
      <w:proofErr w:type="gramEnd"/>
      <w:r>
        <w:t xml:space="preserve">  We recognise that some of this information may be too resource-intensive to provide, so we have listed the questions in order of priority.</w:t>
      </w:r>
    </w:p>
    <w:tbl>
      <w:tblPr>
        <w:tblStyle w:val="TableGrid"/>
        <w:tblW w:w="11056" w:type="dxa"/>
        <w:tblInd w:w="-1026" w:type="dxa"/>
        <w:tblLook w:val="04A0" w:firstRow="1" w:lastRow="0" w:firstColumn="1" w:lastColumn="0" w:noHBand="0" w:noVBand="1"/>
      </w:tblPr>
      <w:tblGrid>
        <w:gridCol w:w="4000"/>
        <w:gridCol w:w="1056"/>
        <w:gridCol w:w="1000"/>
        <w:gridCol w:w="1000"/>
        <w:gridCol w:w="1000"/>
        <w:gridCol w:w="1000"/>
        <w:gridCol w:w="1000"/>
        <w:gridCol w:w="1000"/>
      </w:tblGrid>
      <w:tr w:rsidR="00120173" w:rsidTr="00201EDB">
        <w:tc>
          <w:tcPr>
            <w:tcW w:w="4000" w:type="dxa"/>
          </w:tcPr>
          <w:p w:rsidR="00120173" w:rsidRPr="00120173" w:rsidRDefault="00120173" w:rsidP="0054187E">
            <w:pPr>
              <w:rPr>
                <w:sz w:val="20"/>
                <w:szCs w:val="20"/>
              </w:rPr>
            </w:pPr>
          </w:p>
        </w:tc>
        <w:tc>
          <w:tcPr>
            <w:tcW w:w="1056" w:type="dxa"/>
          </w:tcPr>
          <w:p w:rsidR="00120173" w:rsidRPr="00201EDB" w:rsidRDefault="00120173" w:rsidP="0054187E">
            <w:pPr>
              <w:rPr>
                <w:color w:val="0000FF"/>
                <w:sz w:val="20"/>
                <w:szCs w:val="20"/>
              </w:rPr>
            </w:pPr>
            <w:r w:rsidRPr="00201EDB">
              <w:rPr>
                <w:color w:val="0000FF"/>
                <w:sz w:val="20"/>
                <w:szCs w:val="20"/>
              </w:rPr>
              <w:t>Case 1</w:t>
            </w:r>
          </w:p>
        </w:tc>
        <w:tc>
          <w:tcPr>
            <w:tcW w:w="1000" w:type="dxa"/>
          </w:tcPr>
          <w:p w:rsidR="00120173" w:rsidRPr="00201EDB" w:rsidRDefault="00120173" w:rsidP="0054187E">
            <w:pPr>
              <w:rPr>
                <w:color w:val="0000FF"/>
                <w:sz w:val="20"/>
                <w:szCs w:val="20"/>
              </w:rPr>
            </w:pPr>
            <w:r w:rsidRPr="00201EDB">
              <w:rPr>
                <w:color w:val="0000FF"/>
                <w:sz w:val="20"/>
                <w:szCs w:val="20"/>
              </w:rPr>
              <w:t>Case 2</w:t>
            </w:r>
          </w:p>
        </w:tc>
        <w:tc>
          <w:tcPr>
            <w:tcW w:w="1000" w:type="dxa"/>
          </w:tcPr>
          <w:p w:rsidR="00120173" w:rsidRPr="00201EDB" w:rsidRDefault="00120173" w:rsidP="0054187E">
            <w:pPr>
              <w:rPr>
                <w:color w:val="0000FF"/>
                <w:sz w:val="20"/>
                <w:szCs w:val="20"/>
              </w:rPr>
            </w:pPr>
            <w:r w:rsidRPr="00201EDB">
              <w:rPr>
                <w:color w:val="0000FF"/>
                <w:sz w:val="20"/>
                <w:szCs w:val="20"/>
              </w:rPr>
              <w:t>Case 3</w:t>
            </w:r>
          </w:p>
        </w:tc>
        <w:tc>
          <w:tcPr>
            <w:tcW w:w="1000" w:type="dxa"/>
          </w:tcPr>
          <w:p w:rsidR="00120173" w:rsidRPr="00201EDB" w:rsidRDefault="00120173" w:rsidP="00201EDB">
            <w:pPr>
              <w:rPr>
                <w:color w:val="0000FF"/>
                <w:sz w:val="20"/>
                <w:szCs w:val="20"/>
              </w:rPr>
            </w:pPr>
            <w:r w:rsidRPr="00201EDB">
              <w:rPr>
                <w:color w:val="0000FF"/>
                <w:sz w:val="20"/>
                <w:szCs w:val="20"/>
              </w:rPr>
              <w:t xml:space="preserve">Case 4 </w:t>
            </w:r>
          </w:p>
        </w:tc>
        <w:tc>
          <w:tcPr>
            <w:tcW w:w="1000" w:type="dxa"/>
          </w:tcPr>
          <w:p w:rsidR="00120173" w:rsidRPr="00201EDB" w:rsidRDefault="00120173" w:rsidP="00201EDB">
            <w:pPr>
              <w:rPr>
                <w:color w:val="0000FF"/>
                <w:sz w:val="20"/>
                <w:szCs w:val="20"/>
              </w:rPr>
            </w:pPr>
            <w:r w:rsidRPr="00201EDB">
              <w:rPr>
                <w:color w:val="0000FF"/>
                <w:sz w:val="20"/>
                <w:szCs w:val="20"/>
              </w:rPr>
              <w:t>Case</w:t>
            </w:r>
            <w:r w:rsidR="00201EDB" w:rsidRPr="00201EDB">
              <w:rPr>
                <w:color w:val="0000FF"/>
                <w:sz w:val="20"/>
                <w:szCs w:val="20"/>
              </w:rPr>
              <w:t xml:space="preserve"> 5 </w:t>
            </w:r>
          </w:p>
        </w:tc>
        <w:tc>
          <w:tcPr>
            <w:tcW w:w="1000" w:type="dxa"/>
          </w:tcPr>
          <w:p w:rsidR="00120173" w:rsidRPr="00201EDB" w:rsidRDefault="00120173" w:rsidP="00201EDB">
            <w:pPr>
              <w:rPr>
                <w:color w:val="0000FF"/>
                <w:sz w:val="20"/>
                <w:szCs w:val="20"/>
              </w:rPr>
            </w:pPr>
            <w:r w:rsidRPr="00201EDB">
              <w:rPr>
                <w:color w:val="0000FF"/>
                <w:sz w:val="20"/>
                <w:szCs w:val="20"/>
              </w:rPr>
              <w:t>Case</w:t>
            </w:r>
            <w:r w:rsidR="00201EDB" w:rsidRPr="00201EDB">
              <w:rPr>
                <w:color w:val="0000FF"/>
                <w:sz w:val="20"/>
                <w:szCs w:val="20"/>
              </w:rPr>
              <w:t xml:space="preserve"> 6</w:t>
            </w:r>
            <w:r w:rsidRPr="00201EDB">
              <w:rPr>
                <w:color w:val="0000FF"/>
                <w:sz w:val="20"/>
                <w:szCs w:val="20"/>
              </w:rPr>
              <w:t xml:space="preserve"> </w:t>
            </w:r>
          </w:p>
        </w:tc>
        <w:tc>
          <w:tcPr>
            <w:tcW w:w="1000" w:type="dxa"/>
          </w:tcPr>
          <w:p w:rsidR="00120173" w:rsidRPr="00201EDB" w:rsidRDefault="00120173" w:rsidP="00201EDB">
            <w:pPr>
              <w:rPr>
                <w:color w:val="0000FF"/>
                <w:sz w:val="20"/>
                <w:szCs w:val="20"/>
              </w:rPr>
            </w:pPr>
            <w:r w:rsidRPr="00201EDB">
              <w:rPr>
                <w:color w:val="0000FF"/>
                <w:sz w:val="20"/>
                <w:szCs w:val="20"/>
              </w:rPr>
              <w:t xml:space="preserve">Case </w:t>
            </w:r>
            <w:r w:rsidR="00201EDB" w:rsidRPr="00201EDB">
              <w:rPr>
                <w:color w:val="0000FF"/>
                <w:sz w:val="20"/>
                <w:szCs w:val="20"/>
              </w:rPr>
              <w:t xml:space="preserve">7 </w:t>
            </w:r>
          </w:p>
        </w:tc>
      </w:tr>
      <w:tr w:rsidR="00201EDB" w:rsidTr="00201EDB">
        <w:tc>
          <w:tcPr>
            <w:tcW w:w="4000" w:type="dxa"/>
          </w:tcPr>
          <w:p w:rsidR="00201EDB" w:rsidRPr="00120173" w:rsidRDefault="00201EDB" w:rsidP="007262DE">
            <w:pPr>
              <w:pStyle w:val="ListParagraph"/>
              <w:numPr>
                <w:ilvl w:val="0"/>
                <w:numId w:val="5"/>
              </w:numPr>
              <w:spacing w:after="160" w:line="259" w:lineRule="auto"/>
              <w:rPr>
                <w:sz w:val="20"/>
                <w:szCs w:val="20"/>
              </w:rPr>
            </w:pPr>
            <w:r w:rsidRPr="00120173">
              <w:rPr>
                <w:sz w:val="20"/>
                <w:szCs w:val="20"/>
              </w:rPr>
              <w:t xml:space="preserve">Which category (of those listed in Q2 above) did the case fall into? (e.g. </w:t>
            </w:r>
            <w:r w:rsidRPr="00120173">
              <w:rPr>
                <w:i/>
                <w:sz w:val="20"/>
                <w:szCs w:val="20"/>
              </w:rPr>
              <w:t>Re X</w:t>
            </w:r>
            <w:r w:rsidRPr="00120173">
              <w:rPr>
                <w:sz w:val="20"/>
                <w:szCs w:val="20"/>
              </w:rPr>
              <w:t>, DoLS review, other welfare and deprivation of liberty matter, other welfare matter not involving deprivation of liberty, other)</w:t>
            </w:r>
          </w:p>
        </w:tc>
        <w:tc>
          <w:tcPr>
            <w:tcW w:w="1056" w:type="dxa"/>
          </w:tcPr>
          <w:p w:rsidR="00201EDB" w:rsidRPr="00201EDB" w:rsidRDefault="00201EDB" w:rsidP="0058555C">
            <w:pPr>
              <w:rPr>
                <w:color w:val="0000FF"/>
                <w:sz w:val="20"/>
                <w:szCs w:val="20"/>
              </w:rPr>
            </w:pPr>
            <w:r w:rsidRPr="00201EDB">
              <w:rPr>
                <w:color w:val="0000FF"/>
                <w:sz w:val="20"/>
                <w:szCs w:val="20"/>
              </w:rPr>
              <w:t>Other welfare and DOL</w:t>
            </w:r>
          </w:p>
        </w:tc>
        <w:tc>
          <w:tcPr>
            <w:tcW w:w="1000" w:type="dxa"/>
          </w:tcPr>
          <w:p w:rsidR="00201EDB" w:rsidRPr="00201EDB" w:rsidRDefault="00201EDB" w:rsidP="0058555C">
            <w:pPr>
              <w:rPr>
                <w:color w:val="0000FF"/>
                <w:sz w:val="20"/>
                <w:szCs w:val="20"/>
              </w:rPr>
            </w:pPr>
            <w:r w:rsidRPr="00201EDB">
              <w:rPr>
                <w:color w:val="0000FF"/>
                <w:sz w:val="20"/>
                <w:szCs w:val="20"/>
              </w:rPr>
              <w:t>Other welfare and DOL</w:t>
            </w:r>
          </w:p>
        </w:tc>
        <w:tc>
          <w:tcPr>
            <w:tcW w:w="1000" w:type="dxa"/>
          </w:tcPr>
          <w:p w:rsidR="00201EDB" w:rsidRPr="00201EDB" w:rsidRDefault="00201EDB" w:rsidP="0058555C">
            <w:pPr>
              <w:rPr>
                <w:color w:val="0000FF"/>
                <w:sz w:val="20"/>
                <w:szCs w:val="20"/>
              </w:rPr>
            </w:pPr>
            <w:r w:rsidRPr="00201EDB">
              <w:rPr>
                <w:color w:val="0000FF"/>
                <w:sz w:val="20"/>
                <w:szCs w:val="20"/>
              </w:rPr>
              <w:t>Other welfare and DOL</w:t>
            </w:r>
          </w:p>
        </w:tc>
        <w:tc>
          <w:tcPr>
            <w:tcW w:w="1000" w:type="dxa"/>
          </w:tcPr>
          <w:p w:rsidR="00201EDB" w:rsidRPr="00201EDB" w:rsidRDefault="00201EDB" w:rsidP="0058555C">
            <w:pPr>
              <w:rPr>
                <w:color w:val="0000FF"/>
                <w:sz w:val="20"/>
                <w:szCs w:val="20"/>
              </w:rPr>
            </w:pPr>
            <w:r w:rsidRPr="00201EDB">
              <w:rPr>
                <w:color w:val="0000FF"/>
                <w:sz w:val="20"/>
                <w:szCs w:val="20"/>
              </w:rPr>
              <w:t>Other Welfare and DOL</w:t>
            </w:r>
          </w:p>
        </w:tc>
        <w:tc>
          <w:tcPr>
            <w:tcW w:w="1000" w:type="dxa"/>
          </w:tcPr>
          <w:p w:rsidR="00201EDB" w:rsidRPr="00201EDB" w:rsidRDefault="00201EDB" w:rsidP="0058555C">
            <w:pPr>
              <w:rPr>
                <w:color w:val="0000FF"/>
                <w:sz w:val="20"/>
                <w:szCs w:val="20"/>
              </w:rPr>
            </w:pPr>
            <w:r w:rsidRPr="00201EDB">
              <w:rPr>
                <w:color w:val="0000FF"/>
                <w:sz w:val="20"/>
                <w:szCs w:val="20"/>
              </w:rPr>
              <w:t>Other Welfare and DOL</w:t>
            </w:r>
          </w:p>
        </w:tc>
        <w:tc>
          <w:tcPr>
            <w:tcW w:w="1000" w:type="dxa"/>
          </w:tcPr>
          <w:p w:rsidR="00201EDB" w:rsidRPr="00201EDB" w:rsidRDefault="00201EDB" w:rsidP="0058555C">
            <w:pPr>
              <w:rPr>
                <w:color w:val="0000FF"/>
                <w:sz w:val="20"/>
                <w:szCs w:val="20"/>
              </w:rPr>
            </w:pPr>
            <w:r w:rsidRPr="00201EDB">
              <w:rPr>
                <w:color w:val="0000FF"/>
                <w:sz w:val="20"/>
                <w:szCs w:val="20"/>
              </w:rPr>
              <w:t>DOL review</w:t>
            </w:r>
          </w:p>
        </w:tc>
        <w:tc>
          <w:tcPr>
            <w:tcW w:w="1000" w:type="dxa"/>
          </w:tcPr>
          <w:p w:rsidR="00201EDB" w:rsidRPr="00201EDB" w:rsidRDefault="00201EDB" w:rsidP="0058555C">
            <w:pPr>
              <w:rPr>
                <w:color w:val="0000FF"/>
                <w:sz w:val="20"/>
                <w:szCs w:val="20"/>
              </w:rPr>
            </w:pPr>
            <w:r w:rsidRPr="00201EDB">
              <w:rPr>
                <w:color w:val="0000FF"/>
                <w:sz w:val="20"/>
                <w:szCs w:val="20"/>
              </w:rPr>
              <w:t>DOL review</w:t>
            </w:r>
          </w:p>
        </w:tc>
      </w:tr>
      <w:tr w:rsidR="00201EDB" w:rsidTr="00201EDB">
        <w:tc>
          <w:tcPr>
            <w:tcW w:w="4000" w:type="dxa"/>
          </w:tcPr>
          <w:p w:rsidR="00201EDB" w:rsidRPr="00120173" w:rsidRDefault="00201EDB" w:rsidP="007262DE">
            <w:pPr>
              <w:pStyle w:val="ListParagraph"/>
              <w:numPr>
                <w:ilvl w:val="0"/>
                <w:numId w:val="5"/>
              </w:numPr>
              <w:rPr>
                <w:sz w:val="20"/>
                <w:szCs w:val="20"/>
              </w:rPr>
            </w:pPr>
            <w:r w:rsidRPr="00120173">
              <w:rPr>
                <w:sz w:val="20"/>
                <w:szCs w:val="20"/>
              </w:rPr>
              <w:t xml:space="preserve"> Who made the initial application to the Court of Protection? (e.g. The local authority, an NHS body, 'P', a family member of P, a friend of P, an IMCA, another kind of advocate, or some other person)</w:t>
            </w:r>
          </w:p>
        </w:tc>
        <w:tc>
          <w:tcPr>
            <w:tcW w:w="1056" w:type="dxa"/>
          </w:tcPr>
          <w:p w:rsidR="00201EDB" w:rsidRPr="00201EDB" w:rsidRDefault="00201EDB" w:rsidP="0058555C">
            <w:pPr>
              <w:rPr>
                <w:color w:val="0000FF"/>
                <w:sz w:val="20"/>
                <w:szCs w:val="20"/>
              </w:rPr>
            </w:pPr>
            <w:r w:rsidRPr="00201EDB">
              <w:rPr>
                <w:color w:val="0000FF"/>
                <w:sz w:val="20"/>
                <w:szCs w:val="20"/>
              </w:rPr>
              <w:t>LA – Local Authority</w:t>
            </w:r>
          </w:p>
        </w:tc>
        <w:tc>
          <w:tcPr>
            <w:tcW w:w="1000" w:type="dxa"/>
          </w:tcPr>
          <w:p w:rsidR="00201EDB" w:rsidRPr="00201EDB" w:rsidRDefault="00201EDB" w:rsidP="0058555C">
            <w:pPr>
              <w:rPr>
                <w:color w:val="0000FF"/>
                <w:sz w:val="20"/>
                <w:szCs w:val="20"/>
              </w:rPr>
            </w:pPr>
            <w:r w:rsidRPr="00201EDB">
              <w:rPr>
                <w:color w:val="0000FF"/>
                <w:sz w:val="20"/>
                <w:szCs w:val="20"/>
              </w:rPr>
              <w:t>Family</w:t>
            </w:r>
          </w:p>
        </w:tc>
        <w:tc>
          <w:tcPr>
            <w:tcW w:w="1000" w:type="dxa"/>
          </w:tcPr>
          <w:p w:rsidR="00201EDB" w:rsidRPr="00201EDB" w:rsidRDefault="00201EDB" w:rsidP="0058555C">
            <w:pPr>
              <w:rPr>
                <w:color w:val="0000FF"/>
                <w:sz w:val="20"/>
                <w:szCs w:val="20"/>
              </w:rPr>
            </w:pPr>
            <w:r w:rsidRPr="00201EDB">
              <w:rPr>
                <w:color w:val="0000FF"/>
                <w:sz w:val="20"/>
                <w:szCs w:val="20"/>
              </w:rPr>
              <w:t>LA</w:t>
            </w:r>
          </w:p>
        </w:tc>
        <w:tc>
          <w:tcPr>
            <w:tcW w:w="1000" w:type="dxa"/>
          </w:tcPr>
          <w:p w:rsidR="00201EDB" w:rsidRPr="00201EDB" w:rsidRDefault="00201EDB" w:rsidP="0058555C">
            <w:pPr>
              <w:rPr>
                <w:color w:val="0000FF"/>
                <w:sz w:val="20"/>
                <w:szCs w:val="20"/>
              </w:rPr>
            </w:pPr>
            <w:r w:rsidRPr="00201EDB">
              <w:rPr>
                <w:color w:val="0000FF"/>
                <w:sz w:val="20"/>
                <w:szCs w:val="20"/>
              </w:rPr>
              <w:t>LA</w:t>
            </w:r>
          </w:p>
        </w:tc>
        <w:tc>
          <w:tcPr>
            <w:tcW w:w="1000" w:type="dxa"/>
          </w:tcPr>
          <w:p w:rsidR="00201EDB" w:rsidRPr="00201EDB" w:rsidRDefault="00201EDB" w:rsidP="0058555C">
            <w:pPr>
              <w:rPr>
                <w:color w:val="0000FF"/>
                <w:sz w:val="20"/>
                <w:szCs w:val="20"/>
              </w:rPr>
            </w:pPr>
            <w:r w:rsidRPr="00201EDB">
              <w:rPr>
                <w:color w:val="0000FF"/>
                <w:sz w:val="20"/>
                <w:szCs w:val="20"/>
              </w:rPr>
              <w:t>LA</w:t>
            </w:r>
          </w:p>
        </w:tc>
        <w:tc>
          <w:tcPr>
            <w:tcW w:w="1000" w:type="dxa"/>
          </w:tcPr>
          <w:p w:rsidR="00201EDB" w:rsidRPr="00201EDB" w:rsidRDefault="00201EDB" w:rsidP="0058555C">
            <w:pPr>
              <w:rPr>
                <w:color w:val="0000FF"/>
                <w:sz w:val="20"/>
                <w:szCs w:val="20"/>
              </w:rPr>
            </w:pPr>
            <w:r w:rsidRPr="00201EDB">
              <w:rPr>
                <w:color w:val="0000FF"/>
                <w:sz w:val="20"/>
                <w:szCs w:val="20"/>
              </w:rPr>
              <w:t>LA</w:t>
            </w:r>
          </w:p>
        </w:tc>
        <w:tc>
          <w:tcPr>
            <w:tcW w:w="1000" w:type="dxa"/>
          </w:tcPr>
          <w:p w:rsidR="00201EDB" w:rsidRPr="00201EDB" w:rsidRDefault="00201EDB" w:rsidP="0058555C">
            <w:pPr>
              <w:rPr>
                <w:color w:val="0000FF"/>
                <w:sz w:val="20"/>
                <w:szCs w:val="20"/>
              </w:rPr>
            </w:pPr>
            <w:r w:rsidRPr="00201EDB">
              <w:rPr>
                <w:color w:val="0000FF"/>
                <w:sz w:val="20"/>
                <w:szCs w:val="20"/>
              </w:rPr>
              <w:t>LA</w:t>
            </w:r>
          </w:p>
        </w:tc>
      </w:tr>
      <w:tr w:rsidR="00201EDB" w:rsidTr="00201EDB">
        <w:tc>
          <w:tcPr>
            <w:tcW w:w="4000" w:type="dxa"/>
          </w:tcPr>
          <w:p w:rsidR="00201EDB" w:rsidRPr="00120173" w:rsidRDefault="00201EDB" w:rsidP="007262DE">
            <w:pPr>
              <w:pStyle w:val="ListParagraph"/>
              <w:numPr>
                <w:ilvl w:val="0"/>
                <w:numId w:val="5"/>
              </w:numPr>
              <w:spacing w:after="160" w:line="259" w:lineRule="auto"/>
              <w:rPr>
                <w:sz w:val="20"/>
                <w:szCs w:val="20"/>
              </w:rPr>
            </w:pPr>
            <w:r w:rsidRPr="00120173">
              <w:rPr>
                <w:sz w:val="20"/>
                <w:szCs w:val="20"/>
              </w:rPr>
              <w:t>Is the case ongoing (yes/no)?</w:t>
            </w:r>
          </w:p>
        </w:tc>
        <w:tc>
          <w:tcPr>
            <w:tcW w:w="1056" w:type="dxa"/>
          </w:tcPr>
          <w:p w:rsidR="00201EDB" w:rsidRPr="00201EDB" w:rsidRDefault="00201EDB" w:rsidP="0058555C">
            <w:pPr>
              <w:rPr>
                <w:color w:val="0000FF"/>
                <w:sz w:val="20"/>
                <w:szCs w:val="20"/>
              </w:rPr>
            </w:pPr>
            <w:r w:rsidRPr="00201EDB">
              <w:rPr>
                <w:color w:val="0000FF"/>
                <w:sz w:val="20"/>
                <w:szCs w:val="20"/>
              </w:rPr>
              <w:t>Y, court review</w:t>
            </w:r>
          </w:p>
        </w:tc>
        <w:tc>
          <w:tcPr>
            <w:tcW w:w="1000" w:type="dxa"/>
          </w:tcPr>
          <w:p w:rsidR="00201EDB" w:rsidRPr="00201EDB" w:rsidRDefault="00201EDB" w:rsidP="0058555C">
            <w:pPr>
              <w:rPr>
                <w:color w:val="0000FF"/>
                <w:sz w:val="20"/>
                <w:szCs w:val="20"/>
              </w:rPr>
            </w:pPr>
            <w:r w:rsidRPr="00201EDB">
              <w:rPr>
                <w:color w:val="0000FF"/>
                <w:sz w:val="20"/>
                <w:szCs w:val="20"/>
              </w:rPr>
              <w:t>N</w:t>
            </w:r>
          </w:p>
        </w:tc>
        <w:tc>
          <w:tcPr>
            <w:tcW w:w="1000" w:type="dxa"/>
          </w:tcPr>
          <w:p w:rsidR="00201EDB" w:rsidRPr="00201EDB" w:rsidRDefault="00201EDB" w:rsidP="0058555C">
            <w:pPr>
              <w:rPr>
                <w:color w:val="0000FF"/>
                <w:sz w:val="20"/>
                <w:szCs w:val="20"/>
              </w:rPr>
            </w:pPr>
            <w:r w:rsidRPr="00201EDB">
              <w:rPr>
                <w:color w:val="0000FF"/>
                <w:sz w:val="20"/>
                <w:szCs w:val="20"/>
              </w:rPr>
              <w:t>Y, court review</w:t>
            </w:r>
          </w:p>
        </w:tc>
        <w:tc>
          <w:tcPr>
            <w:tcW w:w="1000" w:type="dxa"/>
          </w:tcPr>
          <w:p w:rsidR="00201EDB" w:rsidRPr="00201EDB" w:rsidRDefault="00201EDB" w:rsidP="0058555C">
            <w:pPr>
              <w:rPr>
                <w:color w:val="0000FF"/>
                <w:sz w:val="20"/>
                <w:szCs w:val="20"/>
              </w:rPr>
            </w:pPr>
            <w:r w:rsidRPr="00201EDB">
              <w:rPr>
                <w:color w:val="0000FF"/>
                <w:sz w:val="20"/>
                <w:szCs w:val="20"/>
              </w:rPr>
              <w:t>Y, court review</w:t>
            </w:r>
          </w:p>
        </w:tc>
        <w:tc>
          <w:tcPr>
            <w:tcW w:w="1000" w:type="dxa"/>
          </w:tcPr>
          <w:p w:rsidR="00201EDB" w:rsidRPr="00201EDB" w:rsidRDefault="00201EDB" w:rsidP="0058555C">
            <w:pPr>
              <w:rPr>
                <w:color w:val="0000FF"/>
                <w:sz w:val="20"/>
                <w:szCs w:val="20"/>
              </w:rPr>
            </w:pPr>
            <w:r w:rsidRPr="00201EDB">
              <w:rPr>
                <w:color w:val="0000FF"/>
                <w:sz w:val="20"/>
                <w:szCs w:val="20"/>
              </w:rPr>
              <w:t>Y, court review</w:t>
            </w:r>
          </w:p>
        </w:tc>
        <w:tc>
          <w:tcPr>
            <w:tcW w:w="1000" w:type="dxa"/>
          </w:tcPr>
          <w:p w:rsidR="00201EDB" w:rsidRPr="00201EDB" w:rsidRDefault="00201EDB" w:rsidP="0058555C">
            <w:pPr>
              <w:rPr>
                <w:color w:val="0000FF"/>
                <w:sz w:val="20"/>
                <w:szCs w:val="20"/>
              </w:rPr>
            </w:pPr>
            <w:r w:rsidRPr="00201EDB">
              <w:rPr>
                <w:color w:val="0000FF"/>
                <w:sz w:val="20"/>
                <w:szCs w:val="20"/>
              </w:rPr>
              <w:t>Y, court review</w:t>
            </w:r>
          </w:p>
        </w:tc>
        <w:tc>
          <w:tcPr>
            <w:tcW w:w="1000" w:type="dxa"/>
          </w:tcPr>
          <w:p w:rsidR="00201EDB" w:rsidRPr="00201EDB" w:rsidRDefault="00201EDB" w:rsidP="0058555C">
            <w:pPr>
              <w:rPr>
                <w:color w:val="0000FF"/>
                <w:sz w:val="20"/>
                <w:szCs w:val="20"/>
              </w:rPr>
            </w:pPr>
            <w:r w:rsidRPr="00201EDB">
              <w:rPr>
                <w:color w:val="0000FF"/>
                <w:sz w:val="20"/>
                <w:szCs w:val="20"/>
              </w:rPr>
              <w:t>Y, court review</w:t>
            </w:r>
          </w:p>
        </w:tc>
      </w:tr>
      <w:tr w:rsidR="00201EDB" w:rsidTr="00201EDB">
        <w:tc>
          <w:tcPr>
            <w:tcW w:w="4000" w:type="dxa"/>
          </w:tcPr>
          <w:p w:rsidR="00201EDB" w:rsidRPr="00120173" w:rsidRDefault="00201EDB" w:rsidP="007262DE">
            <w:pPr>
              <w:pStyle w:val="ListParagraph"/>
              <w:numPr>
                <w:ilvl w:val="0"/>
                <w:numId w:val="5"/>
              </w:numPr>
              <w:spacing w:after="160" w:line="259" w:lineRule="auto"/>
              <w:rPr>
                <w:sz w:val="20"/>
                <w:szCs w:val="20"/>
              </w:rPr>
            </w:pPr>
            <w:r w:rsidRPr="00120173">
              <w:rPr>
                <w:sz w:val="20"/>
                <w:szCs w:val="20"/>
              </w:rPr>
              <w:t>How long, in total, has the case lasted for to date? (to the nearest year/month)</w:t>
            </w:r>
          </w:p>
        </w:tc>
        <w:tc>
          <w:tcPr>
            <w:tcW w:w="1056" w:type="dxa"/>
          </w:tcPr>
          <w:p w:rsidR="00201EDB" w:rsidRPr="00201EDB" w:rsidRDefault="00201EDB" w:rsidP="0058555C">
            <w:pPr>
              <w:rPr>
                <w:color w:val="0000FF"/>
                <w:sz w:val="20"/>
                <w:szCs w:val="20"/>
              </w:rPr>
            </w:pPr>
            <w:r w:rsidRPr="00201EDB">
              <w:rPr>
                <w:color w:val="0000FF"/>
                <w:sz w:val="20"/>
                <w:szCs w:val="20"/>
              </w:rPr>
              <w:t>11 month</w:t>
            </w:r>
          </w:p>
        </w:tc>
        <w:tc>
          <w:tcPr>
            <w:tcW w:w="1000" w:type="dxa"/>
          </w:tcPr>
          <w:p w:rsidR="00201EDB" w:rsidRPr="00201EDB" w:rsidRDefault="00201EDB" w:rsidP="0058555C">
            <w:pPr>
              <w:rPr>
                <w:color w:val="0000FF"/>
                <w:sz w:val="20"/>
                <w:szCs w:val="20"/>
              </w:rPr>
            </w:pPr>
            <w:r w:rsidRPr="00201EDB">
              <w:rPr>
                <w:color w:val="0000FF"/>
                <w:sz w:val="20"/>
                <w:szCs w:val="20"/>
              </w:rPr>
              <w:t>2 years</w:t>
            </w:r>
          </w:p>
        </w:tc>
        <w:tc>
          <w:tcPr>
            <w:tcW w:w="1000" w:type="dxa"/>
          </w:tcPr>
          <w:p w:rsidR="00201EDB" w:rsidRPr="00201EDB" w:rsidRDefault="00201EDB" w:rsidP="0058555C">
            <w:pPr>
              <w:rPr>
                <w:color w:val="0000FF"/>
                <w:sz w:val="20"/>
                <w:szCs w:val="20"/>
              </w:rPr>
            </w:pPr>
            <w:r w:rsidRPr="00201EDB">
              <w:rPr>
                <w:color w:val="0000FF"/>
                <w:sz w:val="20"/>
                <w:szCs w:val="20"/>
              </w:rPr>
              <w:t>6 years, 9 months</w:t>
            </w:r>
          </w:p>
        </w:tc>
        <w:tc>
          <w:tcPr>
            <w:tcW w:w="1000" w:type="dxa"/>
          </w:tcPr>
          <w:p w:rsidR="00201EDB" w:rsidRPr="00201EDB" w:rsidRDefault="00201EDB" w:rsidP="0058555C">
            <w:pPr>
              <w:rPr>
                <w:color w:val="0000FF"/>
                <w:sz w:val="20"/>
                <w:szCs w:val="20"/>
              </w:rPr>
            </w:pPr>
            <w:r w:rsidRPr="00201EDB">
              <w:rPr>
                <w:color w:val="0000FF"/>
                <w:sz w:val="20"/>
                <w:szCs w:val="20"/>
              </w:rPr>
              <w:t>1 year</w:t>
            </w:r>
          </w:p>
        </w:tc>
        <w:tc>
          <w:tcPr>
            <w:tcW w:w="1000" w:type="dxa"/>
          </w:tcPr>
          <w:p w:rsidR="00201EDB" w:rsidRPr="00201EDB" w:rsidRDefault="00201EDB" w:rsidP="0058555C">
            <w:pPr>
              <w:rPr>
                <w:color w:val="0000FF"/>
                <w:sz w:val="20"/>
                <w:szCs w:val="20"/>
              </w:rPr>
            </w:pPr>
            <w:r w:rsidRPr="00201EDB">
              <w:rPr>
                <w:color w:val="0000FF"/>
                <w:sz w:val="20"/>
                <w:szCs w:val="20"/>
              </w:rPr>
              <w:t>4 years, 10 months</w:t>
            </w:r>
          </w:p>
        </w:tc>
        <w:tc>
          <w:tcPr>
            <w:tcW w:w="1000" w:type="dxa"/>
          </w:tcPr>
          <w:p w:rsidR="00201EDB" w:rsidRPr="00201EDB" w:rsidRDefault="00201EDB" w:rsidP="0058555C">
            <w:pPr>
              <w:rPr>
                <w:color w:val="0000FF"/>
                <w:sz w:val="20"/>
                <w:szCs w:val="20"/>
              </w:rPr>
            </w:pPr>
            <w:r w:rsidRPr="00201EDB">
              <w:rPr>
                <w:color w:val="0000FF"/>
                <w:sz w:val="20"/>
                <w:szCs w:val="20"/>
              </w:rPr>
              <w:t>7 years, 10 months</w:t>
            </w:r>
          </w:p>
        </w:tc>
        <w:tc>
          <w:tcPr>
            <w:tcW w:w="1000" w:type="dxa"/>
          </w:tcPr>
          <w:p w:rsidR="00201EDB" w:rsidRPr="00201EDB" w:rsidRDefault="00201EDB" w:rsidP="0058555C">
            <w:pPr>
              <w:rPr>
                <w:color w:val="0000FF"/>
                <w:sz w:val="20"/>
                <w:szCs w:val="20"/>
              </w:rPr>
            </w:pPr>
            <w:r w:rsidRPr="00201EDB">
              <w:rPr>
                <w:color w:val="0000FF"/>
                <w:sz w:val="20"/>
                <w:szCs w:val="20"/>
              </w:rPr>
              <w:t>3 years, 2 months</w:t>
            </w:r>
          </w:p>
        </w:tc>
      </w:tr>
      <w:tr w:rsidR="00201EDB" w:rsidTr="00201EDB">
        <w:tc>
          <w:tcPr>
            <w:tcW w:w="4000" w:type="dxa"/>
          </w:tcPr>
          <w:p w:rsidR="00201EDB" w:rsidRPr="00120173" w:rsidRDefault="00201EDB" w:rsidP="00BF28EE">
            <w:pPr>
              <w:pStyle w:val="ListParagraph"/>
              <w:numPr>
                <w:ilvl w:val="0"/>
                <w:numId w:val="5"/>
              </w:numPr>
              <w:spacing w:after="160" w:line="259" w:lineRule="auto"/>
              <w:rPr>
                <w:sz w:val="20"/>
                <w:szCs w:val="20"/>
              </w:rPr>
            </w:pPr>
            <w:r w:rsidRPr="00120173">
              <w:rPr>
                <w:sz w:val="20"/>
                <w:szCs w:val="20"/>
              </w:rPr>
              <w:t xml:space="preserve">Please estimate the overall cost to the local authority of this case (to date).  (If you are able to share with us more detail about the nature of </w:t>
            </w:r>
            <w:r w:rsidRPr="00120173">
              <w:rPr>
                <w:sz w:val="20"/>
                <w:szCs w:val="20"/>
              </w:rPr>
              <w:lastRenderedPageBreak/>
              <w:t>those costs – e.g. time of in-house legal and social care staff, expert reports, instructing counsel, application fee, payments to IMCAs acting at litigation friends, etc – then we would be very interested in this as it would provide useful data on the costs of Court of Protection litigation.  However, we recognise that this information would likely take us beyond the resource limits of the request)</w:t>
            </w:r>
          </w:p>
        </w:tc>
        <w:tc>
          <w:tcPr>
            <w:tcW w:w="1056" w:type="dxa"/>
          </w:tcPr>
          <w:p w:rsidR="00201EDB" w:rsidRPr="00201EDB" w:rsidRDefault="00201EDB" w:rsidP="0058555C">
            <w:pPr>
              <w:rPr>
                <w:color w:val="0000FF"/>
                <w:sz w:val="20"/>
                <w:szCs w:val="20"/>
              </w:rPr>
            </w:pPr>
            <w:r>
              <w:rPr>
                <w:color w:val="0000FF"/>
                <w:sz w:val="20"/>
                <w:szCs w:val="20"/>
              </w:rPr>
              <w:lastRenderedPageBreak/>
              <w:t>U</w:t>
            </w:r>
            <w:r w:rsidRPr="00201EDB">
              <w:rPr>
                <w:color w:val="0000FF"/>
                <w:sz w:val="20"/>
                <w:szCs w:val="20"/>
              </w:rPr>
              <w:t>nable to estimate</w:t>
            </w:r>
          </w:p>
        </w:tc>
        <w:tc>
          <w:tcPr>
            <w:tcW w:w="1000" w:type="dxa"/>
          </w:tcPr>
          <w:p w:rsidR="00201EDB" w:rsidRPr="00201EDB" w:rsidRDefault="00201EDB" w:rsidP="0058555C">
            <w:pPr>
              <w:rPr>
                <w:color w:val="0000FF"/>
                <w:sz w:val="20"/>
                <w:szCs w:val="20"/>
              </w:rPr>
            </w:pPr>
            <w:r>
              <w:rPr>
                <w:color w:val="0000FF"/>
                <w:sz w:val="20"/>
                <w:szCs w:val="20"/>
              </w:rPr>
              <w:t>U</w:t>
            </w:r>
            <w:r w:rsidRPr="00201EDB">
              <w:rPr>
                <w:color w:val="0000FF"/>
                <w:sz w:val="20"/>
                <w:szCs w:val="20"/>
              </w:rPr>
              <w:t>nable to estimate</w:t>
            </w:r>
          </w:p>
        </w:tc>
        <w:tc>
          <w:tcPr>
            <w:tcW w:w="1000" w:type="dxa"/>
          </w:tcPr>
          <w:p w:rsidR="00201EDB" w:rsidRPr="00201EDB" w:rsidRDefault="00201EDB" w:rsidP="0058555C">
            <w:pPr>
              <w:rPr>
                <w:color w:val="0000FF"/>
                <w:sz w:val="20"/>
                <w:szCs w:val="20"/>
              </w:rPr>
            </w:pPr>
            <w:r>
              <w:rPr>
                <w:color w:val="0000FF"/>
                <w:sz w:val="20"/>
                <w:szCs w:val="20"/>
              </w:rPr>
              <w:t>U</w:t>
            </w:r>
            <w:r w:rsidRPr="00201EDB">
              <w:rPr>
                <w:color w:val="0000FF"/>
                <w:sz w:val="20"/>
                <w:szCs w:val="20"/>
              </w:rPr>
              <w:t>nable to estimate</w:t>
            </w:r>
          </w:p>
        </w:tc>
        <w:tc>
          <w:tcPr>
            <w:tcW w:w="1000" w:type="dxa"/>
          </w:tcPr>
          <w:p w:rsidR="00201EDB" w:rsidRPr="00201EDB" w:rsidRDefault="00201EDB" w:rsidP="0058555C">
            <w:pPr>
              <w:rPr>
                <w:color w:val="0000FF"/>
                <w:sz w:val="20"/>
                <w:szCs w:val="20"/>
              </w:rPr>
            </w:pPr>
            <w:r>
              <w:rPr>
                <w:color w:val="0000FF"/>
                <w:sz w:val="20"/>
                <w:szCs w:val="20"/>
              </w:rPr>
              <w:t>U</w:t>
            </w:r>
            <w:r w:rsidRPr="00201EDB">
              <w:rPr>
                <w:color w:val="0000FF"/>
                <w:sz w:val="20"/>
                <w:szCs w:val="20"/>
              </w:rPr>
              <w:t>nable to estimate</w:t>
            </w:r>
          </w:p>
        </w:tc>
        <w:tc>
          <w:tcPr>
            <w:tcW w:w="1000" w:type="dxa"/>
          </w:tcPr>
          <w:p w:rsidR="00201EDB" w:rsidRPr="00201EDB" w:rsidRDefault="00201EDB" w:rsidP="0058555C">
            <w:pPr>
              <w:rPr>
                <w:color w:val="0000FF"/>
                <w:sz w:val="20"/>
                <w:szCs w:val="20"/>
              </w:rPr>
            </w:pPr>
            <w:r>
              <w:rPr>
                <w:color w:val="0000FF"/>
                <w:sz w:val="20"/>
                <w:szCs w:val="20"/>
              </w:rPr>
              <w:t>U</w:t>
            </w:r>
            <w:r w:rsidRPr="00201EDB">
              <w:rPr>
                <w:color w:val="0000FF"/>
                <w:sz w:val="20"/>
                <w:szCs w:val="20"/>
              </w:rPr>
              <w:t>nable to estimate</w:t>
            </w:r>
          </w:p>
        </w:tc>
        <w:tc>
          <w:tcPr>
            <w:tcW w:w="1000" w:type="dxa"/>
          </w:tcPr>
          <w:p w:rsidR="00201EDB" w:rsidRPr="00201EDB" w:rsidRDefault="00201EDB" w:rsidP="0058555C">
            <w:pPr>
              <w:rPr>
                <w:color w:val="0000FF"/>
                <w:sz w:val="20"/>
                <w:szCs w:val="20"/>
              </w:rPr>
            </w:pPr>
            <w:r>
              <w:rPr>
                <w:color w:val="0000FF"/>
                <w:sz w:val="20"/>
                <w:szCs w:val="20"/>
              </w:rPr>
              <w:t>U</w:t>
            </w:r>
            <w:r w:rsidRPr="00201EDB">
              <w:rPr>
                <w:color w:val="0000FF"/>
                <w:sz w:val="20"/>
                <w:szCs w:val="20"/>
              </w:rPr>
              <w:t>nable to estimate</w:t>
            </w:r>
          </w:p>
        </w:tc>
        <w:tc>
          <w:tcPr>
            <w:tcW w:w="1000" w:type="dxa"/>
          </w:tcPr>
          <w:p w:rsidR="00201EDB" w:rsidRPr="00201EDB" w:rsidRDefault="00201EDB" w:rsidP="0058555C">
            <w:pPr>
              <w:rPr>
                <w:color w:val="0000FF"/>
                <w:sz w:val="20"/>
                <w:szCs w:val="20"/>
              </w:rPr>
            </w:pPr>
            <w:r>
              <w:rPr>
                <w:color w:val="0000FF"/>
                <w:sz w:val="20"/>
                <w:szCs w:val="20"/>
              </w:rPr>
              <w:t>U</w:t>
            </w:r>
            <w:r w:rsidRPr="00201EDB">
              <w:rPr>
                <w:color w:val="0000FF"/>
                <w:sz w:val="20"/>
                <w:szCs w:val="20"/>
              </w:rPr>
              <w:t>nable to estimate</w:t>
            </w:r>
          </w:p>
        </w:tc>
      </w:tr>
    </w:tbl>
    <w:p w:rsidR="0054187E" w:rsidRDefault="0054187E" w:rsidP="0054187E"/>
    <w:sectPr w:rsidR="0054187E" w:rsidSect="00D674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A9" w:rsidRDefault="009301A9" w:rsidP="00553B7B">
      <w:pPr>
        <w:spacing w:after="0" w:line="240" w:lineRule="auto"/>
      </w:pPr>
      <w:r>
        <w:separator/>
      </w:r>
    </w:p>
  </w:endnote>
  <w:endnote w:type="continuationSeparator" w:id="0">
    <w:p w:rsidR="009301A9" w:rsidRDefault="009301A9" w:rsidP="0055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A9" w:rsidRDefault="009301A9" w:rsidP="00553B7B">
      <w:pPr>
        <w:spacing w:after="0" w:line="240" w:lineRule="auto"/>
      </w:pPr>
      <w:r>
        <w:separator/>
      </w:r>
    </w:p>
  </w:footnote>
  <w:footnote w:type="continuationSeparator" w:id="0">
    <w:p w:rsidR="009301A9" w:rsidRDefault="009301A9" w:rsidP="00553B7B">
      <w:pPr>
        <w:spacing w:after="0" w:line="240" w:lineRule="auto"/>
      </w:pPr>
      <w:r>
        <w:continuationSeparator/>
      </w:r>
    </w:p>
  </w:footnote>
  <w:footnote w:id="1">
    <w:p w:rsidR="00C94B20" w:rsidRPr="00C94B20" w:rsidRDefault="00C94B20">
      <w:pPr>
        <w:pStyle w:val="FootnoteText"/>
      </w:pPr>
      <w:r>
        <w:rPr>
          <w:rStyle w:val="FootnoteReference"/>
        </w:rPr>
        <w:footnoteRef/>
      </w:r>
      <w:r>
        <w:t xml:space="preserve"> Or ‘hybrid’ deputyship applications, but </w:t>
      </w:r>
      <w:r>
        <w:rPr>
          <w:u w:val="single"/>
        </w:rPr>
        <w:t xml:space="preserve">not </w:t>
      </w:r>
      <w:r>
        <w:t>property and affairs deputyship applications on their 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97"/>
    <w:multiLevelType w:val="hybridMultilevel"/>
    <w:tmpl w:val="DA3A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724C51"/>
    <w:multiLevelType w:val="hybridMultilevel"/>
    <w:tmpl w:val="CD7A75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0B770F"/>
    <w:multiLevelType w:val="hybridMultilevel"/>
    <w:tmpl w:val="2836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0F6B22"/>
    <w:multiLevelType w:val="hybridMultilevel"/>
    <w:tmpl w:val="80E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FD0CD6"/>
    <w:multiLevelType w:val="hybridMultilevel"/>
    <w:tmpl w:val="80E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D7"/>
    <w:rsid w:val="00032989"/>
    <w:rsid w:val="000537EF"/>
    <w:rsid w:val="00094F45"/>
    <w:rsid w:val="000C56FE"/>
    <w:rsid w:val="00120173"/>
    <w:rsid w:val="001925C6"/>
    <w:rsid w:val="001E1981"/>
    <w:rsid w:val="001E5C81"/>
    <w:rsid w:val="001E78A0"/>
    <w:rsid w:val="001F7FC4"/>
    <w:rsid w:val="00201EDB"/>
    <w:rsid w:val="00207CBF"/>
    <w:rsid w:val="002408B8"/>
    <w:rsid w:val="00282DEE"/>
    <w:rsid w:val="002C7074"/>
    <w:rsid w:val="002E4887"/>
    <w:rsid w:val="002F79A8"/>
    <w:rsid w:val="00303C2B"/>
    <w:rsid w:val="00312F1D"/>
    <w:rsid w:val="003C1815"/>
    <w:rsid w:val="003C783E"/>
    <w:rsid w:val="004037D7"/>
    <w:rsid w:val="00434F08"/>
    <w:rsid w:val="00477C84"/>
    <w:rsid w:val="004F6903"/>
    <w:rsid w:val="00500D5B"/>
    <w:rsid w:val="00502D5D"/>
    <w:rsid w:val="0054187E"/>
    <w:rsid w:val="00553B7B"/>
    <w:rsid w:val="005754BB"/>
    <w:rsid w:val="0059494B"/>
    <w:rsid w:val="005B3A54"/>
    <w:rsid w:val="005B3F66"/>
    <w:rsid w:val="005D0087"/>
    <w:rsid w:val="005E3AAE"/>
    <w:rsid w:val="00614953"/>
    <w:rsid w:val="006A4196"/>
    <w:rsid w:val="007262DE"/>
    <w:rsid w:val="007425F5"/>
    <w:rsid w:val="00762424"/>
    <w:rsid w:val="007643E6"/>
    <w:rsid w:val="00833343"/>
    <w:rsid w:val="0084252E"/>
    <w:rsid w:val="0088051A"/>
    <w:rsid w:val="00885E0F"/>
    <w:rsid w:val="008B3091"/>
    <w:rsid w:val="008C23B8"/>
    <w:rsid w:val="008C287F"/>
    <w:rsid w:val="009122C7"/>
    <w:rsid w:val="009301A9"/>
    <w:rsid w:val="00936A6C"/>
    <w:rsid w:val="00963612"/>
    <w:rsid w:val="00976C01"/>
    <w:rsid w:val="00986B88"/>
    <w:rsid w:val="00995B03"/>
    <w:rsid w:val="009A600D"/>
    <w:rsid w:val="009E42AC"/>
    <w:rsid w:val="00A2735D"/>
    <w:rsid w:val="00A51048"/>
    <w:rsid w:val="00A8287A"/>
    <w:rsid w:val="00AB25AB"/>
    <w:rsid w:val="00AB5264"/>
    <w:rsid w:val="00B31B73"/>
    <w:rsid w:val="00B61A4E"/>
    <w:rsid w:val="00BC6CDE"/>
    <w:rsid w:val="00BF28EE"/>
    <w:rsid w:val="00C13E5E"/>
    <w:rsid w:val="00C41A52"/>
    <w:rsid w:val="00C43284"/>
    <w:rsid w:val="00C90701"/>
    <w:rsid w:val="00C94B20"/>
    <w:rsid w:val="00CA5A3E"/>
    <w:rsid w:val="00CC221F"/>
    <w:rsid w:val="00D43855"/>
    <w:rsid w:val="00D6740F"/>
    <w:rsid w:val="00DE1B0A"/>
    <w:rsid w:val="00E13B02"/>
    <w:rsid w:val="00E15246"/>
    <w:rsid w:val="00E21DF1"/>
    <w:rsid w:val="00E276C1"/>
    <w:rsid w:val="00E426D3"/>
    <w:rsid w:val="00E62990"/>
    <w:rsid w:val="00E9368F"/>
    <w:rsid w:val="00E97A6F"/>
    <w:rsid w:val="00EC7A9F"/>
    <w:rsid w:val="00FA0733"/>
    <w:rsid w:val="00FB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D7"/>
    <w:pPr>
      <w:ind w:left="720"/>
      <w:contextualSpacing/>
    </w:pPr>
  </w:style>
  <w:style w:type="table" w:styleId="TableGrid">
    <w:name w:val="Table Grid"/>
    <w:basedOn w:val="TableNormal"/>
    <w:uiPriority w:val="59"/>
    <w:rsid w:val="0054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953"/>
    <w:rPr>
      <w:color w:val="0000FF" w:themeColor="hyperlink"/>
      <w:u w:val="single"/>
    </w:rPr>
  </w:style>
  <w:style w:type="character" w:styleId="CommentReference">
    <w:name w:val="annotation reference"/>
    <w:basedOn w:val="DefaultParagraphFont"/>
    <w:uiPriority w:val="99"/>
    <w:semiHidden/>
    <w:unhideWhenUsed/>
    <w:rsid w:val="00614953"/>
    <w:rPr>
      <w:sz w:val="16"/>
      <w:szCs w:val="16"/>
    </w:rPr>
  </w:style>
  <w:style w:type="paragraph" w:styleId="CommentText">
    <w:name w:val="annotation text"/>
    <w:basedOn w:val="Normal"/>
    <w:link w:val="CommentTextChar"/>
    <w:uiPriority w:val="99"/>
    <w:semiHidden/>
    <w:unhideWhenUsed/>
    <w:rsid w:val="00614953"/>
    <w:pPr>
      <w:spacing w:line="240" w:lineRule="auto"/>
    </w:pPr>
    <w:rPr>
      <w:sz w:val="20"/>
      <w:szCs w:val="20"/>
    </w:rPr>
  </w:style>
  <w:style w:type="character" w:customStyle="1" w:styleId="CommentTextChar">
    <w:name w:val="Comment Text Char"/>
    <w:basedOn w:val="DefaultParagraphFont"/>
    <w:link w:val="CommentText"/>
    <w:uiPriority w:val="99"/>
    <w:semiHidden/>
    <w:rsid w:val="00614953"/>
    <w:rPr>
      <w:sz w:val="20"/>
      <w:szCs w:val="20"/>
    </w:rPr>
  </w:style>
  <w:style w:type="paragraph" w:styleId="CommentSubject">
    <w:name w:val="annotation subject"/>
    <w:basedOn w:val="CommentText"/>
    <w:next w:val="CommentText"/>
    <w:link w:val="CommentSubjectChar"/>
    <w:uiPriority w:val="99"/>
    <w:semiHidden/>
    <w:unhideWhenUsed/>
    <w:rsid w:val="00614953"/>
    <w:rPr>
      <w:b/>
      <w:bCs/>
    </w:rPr>
  </w:style>
  <w:style w:type="character" w:customStyle="1" w:styleId="CommentSubjectChar">
    <w:name w:val="Comment Subject Char"/>
    <w:basedOn w:val="CommentTextChar"/>
    <w:link w:val="CommentSubject"/>
    <w:uiPriority w:val="99"/>
    <w:semiHidden/>
    <w:rsid w:val="00614953"/>
    <w:rPr>
      <w:b/>
      <w:bCs/>
      <w:sz w:val="20"/>
      <w:szCs w:val="20"/>
    </w:rPr>
  </w:style>
  <w:style w:type="paragraph" w:styleId="BalloonText">
    <w:name w:val="Balloon Text"/>
    <w:basedOn w:val="Normal"/>
    <w:link w:val="BalloonTextChar"/>
    <w:uiPriority w:val="99"/>
    <w:semiHidden/>
    <w:unhideWhenUsed/>
    <w:rsid w:val="006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53"/>
    <w:rPr>
      <w:rFonts w:ascii="Tahoma" w:hAnsi="Tahoma" w:cs="Tahoma"/>
      <w:sz w:val="16"/>
      <w:szCs w:val="16"/>
    </w:rPr>
  </w:style>
  <w:style w:type="paragraph" w:styleId="FootnoteText">
    <w:name w:val="footnote text"/>
    <w:basedOn w:val="Normal"/>
    <w:link w:val="FootnoteTextChar"/>
    <w:uiPriority w:val="99"/>
    <w:semiHidden/>
    <w:unhideWhenUsed/>
    <w:rsid w:val="00553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B7B"/>
    <w:rPr>
      <w:sz w:val="20"/>
      <w:szCs w:val="20"/>
    </w:rPr>
  </w:style>
  <w:style w:type="character" w:styleId="FootnoteReference">
    <w:name w:val="footnote reference"/>
    <w:basedOn w:val="DefaultParagraphFont"/>
    <w:uiPriority w:val="99"/>
    <w:semiHidden/>
    <w:unhideWhenUsed/>
    <w:rsid w:val="00553B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D7"/>
    <w:pPr>
      <w:ind w:left="720"/>
      <w:contextualSpacing/>
    </w:pPr>
  </w:style>
  <w:style w:type="table" w:styleId="TableGrid">
    <w:name w:val="Table Grid"/>
    <w:basedOn w:val="TableNormal"/>
    <w:uiPriority w:val="59"/>
    <w:rsid w:val="0054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953"/>
    <w:rPr>
      <w:color w:val="0000FF" w:themeColor="hyperlink"/>
      <w:u w:val="single"/>
    </w:rPr>
  </w:style>
  <w:style w:type="character" w:styleId="CommentReference">
    <w:name w:val="annotation reference"/>
    <w:basedOn w:val="DefaultParagraphFont"/>
    <w:uiPriority w:val="99"/>
    <w:semiHidden/>
    <w:unhideWhenUsed/>
    <w:rsid w:val="00614953"/>
    <w:rPr>
      <w:sz w:val="16"/>
      <w:szCs w:val="16"/>
    </w:rPr>
  </w:style>
  <w:style w:type="paragraph" w:styleId="CommentText">
    <w:name w:val="annotation text"/>
    <w:basedOn w:val="Normal"/>
    <w:link w:val="CommentTextChar"/>
    <w:uiPriority w:val="99"/>
    <w:semiHidden/>
    <w:unhideWhenUsed/>
    <w:rsid w:val="00614953"/>
    <w:pPr>
      <w:spacing w:line="240" w:lineRule="auto"/>
    </w:pPr>
    <w:rPr>
      <w:sz w:val="20"/>
      <w:szCs w:val="20"/>
    </w:rPr>
  </w:style>
  <w:style w:type="character" w:customStyle="1" w:styleId="CommentTextChar">
    <w:name w:val="Comment Text Char"/>
    <w:basedOn w:val="DefaultParagraphFont"/>
    <w:link w:val="CommentText"/>
    <w:uiPriority w:val="99"/>
    <w:semiHidden/>
    <w:rsid w:val="00614953"/>
    <w:rPr>
      <w:sz w:val="20"/>
      <w:szCs w:val="20"/>
    </w:rPr>
  </w:style>
  <w:style w:type="paragraph" w:styleId="CommentSubject">
    <w:name w:val="annotation subject"/>
    <w:basedOn w:val="CommentText"/>
    <w:next w:val="CommentText"/>
    <w:link w:val="CommentSubjectChar"/>
    <w:uiPriority w:val="99"/>
    <w:semiHidden/>
    <w:unhideWhenUsed/>
    <w:rsid w:val="00614953"/>
    <w:rPr>
      <w:b/>
      <w:bCs/>
    </w:rPr>
  </w:style>
  <w:style w:type="character" w:customStyle="1" w:styleId="CommentSubjectChar">
    <w:name w:val="Comment Subject Char"/>
    <w:basedOn w:val="CommentTextChar"/>
    <w:link w:val="CommentSubject"/>
    <w:uiPriority w:val="99"/>
    <w:semiHidden/>
    <w:rsid w:val="00614953"/>
    <w:rPr>
      <w:b/>
      <w:bCs/>
      <w:sz w:val="20"/>
      <w:szCs w:val="20"/>
    </w:rPr>
  </w:style>
  <w:style w:type="paragraph" w:styleId="BalloonText">
    <w:name w:val="Balloon Text"/>
    <w:basedOn w:val="Normal"/>
    <w:link w:val="BalloonTextChar"/>
    <w:uiPriority w:val="99"/>
    <w:semiHidden/>
    <w:unhideWhenUsed/>
    <w:rsid w:val="006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53"/>
    <w:rPr>
      <w:rFonts w:ascii="Tahoma" w:hAnsi="Tahoma" w:cs="Tahoma"/>
      <w:sz w:val="16"/>
      <w:szCs w:val="16"/>
    </w:rPr>
  </w:style>
  <w:style w:type="paragraph" w:styleId="FootnoteText">
    <w:name w:val="footnote text"/>
    <w:basedOn w:val="Normal"/>
    <w:link w:val="FootnoteTextChar"/>
    <w:uiPriority w:val="99"/>
    <w:semiHidden/>
    <w:unhideWhenUsed/>
    <w:rsid w:val="00553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B7B"/>
    <w:rPr>
      <w:sz w:val="20"/>
      <w:szCs w:val="20"/>
    </w:rPr>
  </w:style>
  <w:style w:type="character" w:styleId="FootnoteReference">
    <w:name w:val="footnote reference"/>
    <w:basedOn w:val="DefaultParagraphFont"/>
    <w:uiPriority w:val="99"/>
    <w:semiHidden/>
    <w:unhideWhenUsed/>
    <w:rsid w:val="00553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066">
      <w:bodyDiv w:val="1"/>
      <w:marLeft w:val="0"/>
      <w:marRight w:val="0"/>
      <w:marTop w:val="0"/>
      <w:marBottom w:val="0"/>
      <w:divBdr>
        <w:top w:val="none" w:sz="0" w:space="0" w:color="auto"/>
        <w:left w:val="none" w:sz="0" w:space="0" w:color="auto"/>
        <w:bottom w:val="none" w:sz="0" w:space="0" w:color="auto"/>
        <w:right w:val="none" w:sz="0" w:space="0" w:color="auto"/>
      </w:divBdr>
      <w:divsChild>
        <w:div w:id="1285111441">
          <w:marLeft w:val="0"/>
          <w:marRight w:val="0"/>
          <w:marTop w:val="0"/>
          <w:marBottom w:val="0"/>
          <w:divBdr>
            <w:top w:val="none" w:sz="0" w:space="0" w:color="auto"/>
            <w:left w:val="none" w:sz="0" w:space="0" w:color="auto"/>
            <w:bottom w:val="none" w:sz="0" w:space="0" w:color="auto"/>
            <w:right w:val="none" w:sz="0" w:space="0" w:color="auto"/>
          </w:divBdr>
        </w:div>
        <w:div w:id="1843081797">
          <w:marLeft w:val="0"/>
          <w:marRight w:val="0"/>
          <w:marTop w:val="0"/>
          <w:marBottom w:val="0"/>
          <w:divBdr>
            <w:top w:val="none" w:sz="0" w:space="0" w:color="auto"/>
            <w:left w:val="none" w:sz="0" w:space="0" w:color="auto"/>
            <w:bottom w:val="none" w:sz="0" w:space="0" w:color="auto"/>
            <w:right w:val="none" w:sz="0" w:space="0" w:color="auto"/>
          </w:divBdr>
        </w:div>
        <w:div w:id="558133777">
          <w:marLeft w:val="0"/>
          <w:marRight w:val="0"/>
          <w:marTop w:val="0"/>
          <w:marBottom w:val="0"/>
          <w:divBdr>
            <w:top w:val="none" w:sz="0" w:space="0" w:color="auto"/>
            <w:left w:val="none" w:sz="0" w:space="0" w:color="auto"/>
            <w:bottom w:val="none" w:sz="0" w:space="0" w:color="auto"/>
            <w:right w:val="none" w:sz="0" w:space="0" w:color="auto"/>
          </w:divBdr>
        </w:div>
      </w:divsChild>
    </w:div>
    <w:div w:id="1520510917">
      <w:bodyDiv w:val="1"/>
      <w:marLeft w:val="0"/>
      <w:marRight w:val="0"/>
      <w:marTop w:val="0"/>
      <w:marBottom w:val="0"/>
      <w:divBdr>
        <w:top w:val="none" w:sz="0" w:space="0" w:color="auto"/>
        <w:left w:val="none" w:sz="0" w:space="0" w:color="auto"/>
        <w:bottom w:val="none" w:sz="0" w:space="0" w:color="auto"/>
        <w:right w:val="none" w:sz="0" w:space="0" w:color="auto"/>
      </w:divBdr>
      <w:divsChild>
        <w:div w:id="1050616323">
          <w:marLeft w:val="0"/>
          <w:marRight w:val="0"/>
          <w:marTop w:val="0"/>
          <w:marBottom w:val="0"/>
          <w:divBdr>
            <w:top w:val="none" w:sz="0" w:space="0" w:color="auto"/>
            <w:left w:val="none" w:sz="0" w:space="0" w:color="auto"/>
            <w:bottom w:val="none" w:sz="0" w:space="0" w:color="auto"/>
            <w:right w:val="none" w:sz="0" w:space="0" w:color="auto"/>
          </w:divBdr>
        </w:div>
        <w:div w:id="1292590866">
          <w:marLeft w:val="0"/>
          <w:marRight w:val="0"/>
          <w:marTop w:val="0"/>
          <w:marBottom w:val="0"/>
          <w:divBdr>
            <w:top w:val="none" w:sz="0" w:space="0" w:color="auto"/>
            <w:left w:val="none" w:sz="0" w:space="0" w:color="auto"/>
            <w:bottom w:val="none" w:sz="0" w:space="0" w:color="auto"/>
            <w:right w:val="none" w:sz="0" w:space="0" w:color="auto"/>
          </w:divBdr>
        </w:div>
        <w:div w:id="1304849244">
          <w:marLeft w:val="0"/>
          <w:marRight w:val="0"/>
          <w:marTop w:val="0"/>
          <w:marBottom w:val="0"/>
          <w:divBdr>
            <w:top w:val="none" w:sz="0" w:space="0" w:color="auto"/>
            <w:left w:val="none" w:sz="0" w:space="0" w:color="auto"/>
            <w:bottom w:val="none" w:sz="0" w:space="0" w:color="auto"/>
            <w:right w:val="none" w:sz="0" w:space="0" w:color="auto"/>
          </w:divBdr>
        </w:div>
      </w:divsChild>
    </w:div>
    <w:div w:id="20277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es.cardiff.ac.uk/wccop/local-authorities-in-the-court-of-protection-new-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9930-CCFD-4D7C-ABD1-8257536B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Helen Bowler</cp:lastModifiedBy>
  <cp:revision>2</cp:revision>
  <dcterms:created xsi:type="dcterms:W3CDTF">2015-06-24T15:05:00Z</dcterms:created>
  <dcterms:modified xsi:type="dcterms:W3CDTF">2015-06-24T15:05:00Z</dcterms:modified>
</cp:coreProperties>
</file>