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38" w:rsidRPr="009E4C3E" w:rsidRDefault="00211C38" w:rsidP="00211C38">
      <w:pPr>
        <w:rPr>
          <w:rFonts w:ascii="Arial" w:hAnsi="Arial" w:cs="Arial"/>
          <w:b/>
          <w:sz w:val="24"/>
          <w:szCs w:val="24"/>
        </w:rPr>
      </w:pPr>
      <w:bookmarkStart w:id="0" w:name="_GoBack"/>
      <w:bookmarkEnd w:id="0"/>
      <w:r w:rsidRPr="009E4C3E">
        <w:rPr>
          <w:rFonts w:ascii="Arial" w:hAnsi="Arial" w:cs="Arial"/>
          <w:b/>
          <w:sz w:val="24"/>
          <w:szCs w:val="24"/>
        </w:rPr>
        <w:t>FOIA 8917</w:t>
      </w:r>
    </w:p>
    <w:p w:rsidR="00211C38" w:rsidRPr="009E4C3E" w:rsidRDefault="00211C38" w:rsidP="00211C38">
      <w:pPr>
        <w:spacing w:after="0" w:line="240" w:lineRule="auto"/>
        <w:rPr>
          <w:rFonts w:ascii="Arial" w:eastAsia="Times New Roman" w:hAnsi="Arial" w:cs="Arial"/>
          <w:b/>
          <w:bCs/>
          <w:sz w:val="24"/>
          <w:szCs w:val="24"/>
          <w:lang w:eastAsia="en-GB"/>
        </w:rPr>
      </w:pPr>
      <w:r w:rsidRPr="009E4C3E">
        <w:rPr>
          <w:rFonts w:ascii="Arial" w:eastAsia="Times New Roman" w:hAnsi="Arial" w:cs="Arial"/>
          <w:b/>
          <w:bCs/>
          <w:sz w:val="24"/>
          <w:szCs w:val="24"/>
          <w:lang w:eastAsia="en-GB"/>
        </w:rPr>
        <w:t>Request:</w:t>
      </w:r>
    </w:p>
    <w:p w:rsidR="00211C38" w:rsidRPr="009E4C3E" w:rsidRDefault="00211C38" w:rsidP="00211C38">
      <w:pPr>
        <w:spacing w:after="0" w:line="240" w:lineRule="auto"/>
        <w:rPr>
          <w:rFonts w:ascii="Arial" w:eastAsia="Times New Roman" w:hAnsi="Arial" w:cs="Arial"/>
          <w:b/>
          <w:bCs/>
          <w:sz w:val="24"/>
          <w:szCs w:val="24"/>
          <w:lang w:eastAsia="en-GB"/>
        </w:rPr>
      </w:pPr>
      <w:r w:rsidRPr="009E4C3E">
        <w:rPr>
          <w:rFonts w:ascii="Arial" w:eastAsia="Times New Roman" w:hAnsi="Arial" w:cs="Arial"/>
          <w:b/>
          <w:bCs/>
          <w:sz w:val="24"/>
          <w:szCs w:val="24"/>
          <w:lang w:eastAsia="en-GB"/>
        </w:rPr>
        <w:t>I would like to request the amount that the council spends on the festivities in Leicester during the Navratri and Diwali celebrations for the last 10 years.</w:t>
      </w:r>
    </w:p>
    <w:p w:rsidR="00211C38" w:rsidRPr="004A6C48" w:rsidRDefault="00211C38" w:rsidP="00211C38">
      <w:pPr>
        <w:rPr>
          <w:rFonts w:ascii="Arial" w:hAnsi="Arial" w:cs="Arial"/>
        </w:rPr>
      </w:pPr>
    </w:p>
    <w:p w:rsidR="00211C38" w:rsidRPr="009E4C3E" w:rsidRDefault="00211C38" w:rsidP="009E4C3E">
      <w:pPr>
        <w:spacing w:after="0" w:line="240" w:lineRule="auto"/>
        <w:rPr>
          <w:rStyle w:val="apple-style-span"/>
          <w:rFonts w:ascii="Arial" w:eastAsia="Times New Roman" w:hAnsi="Arial" w:cs="Arial"/>
          <w:color w:val="0000FF"/>
          <w:sz w:val="24"/>
          <w:szCs w:val="24"/>
        </w:rPr>
      </w:pPr>
      <w:r w:rsidRPr="009E4C3E">
        <w:rPr>
          <w:rStyle w:val="apple-style-span"/>
          <w:rFonts w:ascii="Arial" w:eastAsia="Times New Roman" w:hAnsi="Arial" w:cs="Arial"/>
          <w:color w:val="0000FF"/>
          <w:sz w:val="24"/>
          <w:szCs w:val="24"/>
        </w:rPr>
        <w:t>Answer:</w:t>
      </w:r>
    </w:p>
    <w:p w:rsidR="00211C38" w:rsidRPr="009E4C3E" w:rsidRDefault="00361A89" w:rsidP="009E4C3E">
      <w:pPr>
        <w:spacing w:after="0" w:line="240" w:lineRule="auto"/>
        <w:rPr>
          <w:rStyle w:val="apple-style-span"/>
          <w:rFonts w:ascii="Arial" w:eastAsia="Times New Roman" w:hAnsi="Arial" w:cs="Arial"/>
          <w:color w:val="0000FF"/>
          <w:sz w:val="24"/>
          <w:szCs w:val="24"/>
        </w:rPr>
      </w:pPr>
      <w:r>
        <w:rPr>
          <w:rStyle w:val="apple-style-span"/>
          <w:rFonts w:ascii="Arial" w:eastAsia="Times New Roman" w:hAnsi="Arial" w:cs="Arial"/>
          <w:color w:val="0000FF"/>
          <w:sz w:val="24"/>
          <w:szCs w:val="24"/>
        </w:rPr>
        <w:t>Please note t</w:t>
      </w:r>
      <w:r w:rsidR="00211C38" w:rsidRPr="009E4C3E">
        <w:rPr>
          <w:rStyle w:val="apple-style-span"/>
          <w:rFonts w:ascii="Arial" w:eastAsia="Times New Roman" w:hAnsi="Arial" w:cs="Arial"/>
          <w:color w:val="0000FF"/>
          <w:sz w:val="24"/>
          <w:szCs w:val="24"/>
        </w:rPr>
        <w:t>here are several separate components to this expenditure:</w:t>
      </w:r>
    </w:p>
    <w:p w:rsidR="00211C38" w:rsidRPr="009E4C3E" w:rsidRDefault="00211C38" w:rsidP="009E4C3E">
      <w:pPr>
        <w:pStyle w:val="ListParagraph"/>
        <w:numPr>
          <w:ilvl w:val="0"/>
          <w:numId w:val="2"/>
        </w:numPr>
        <w:spacing w:after="0" w:line="240" w:lineRule="auto"/>
        <w:rPr>
          <w:rStyle w:val="apple-style-span"/>
          <w:rFonts w:ascii="Arial" w:eastAsia="Times New Roman" w:hAnsi="Arial" w:cs="Arial"/>
          <w:color w:val="0000FF"/>
          <w:sz w:val="24"/>
          <w:szCs w:val="24"/>
        </w:rPr>
      </w:pPr>
      <w:r w:rsidRPr="009E4C3E">
        <w:rPr>
          <w:rStyle w:val="apple-style-span"/>
          <w:rFonts w:ascii="Arial" w:eastAsia="Times New Roman" w:hAnsi="Arial" w:cs="Arial"/>
          <w:color w:val="0000FF"/>
          <w:sz w:val="24"/>
          <w:szCs w:val="24"/>
        </w:rPr>
        <w:t>Funding to support Navratri which is paid as a grant to an external organisation and is approved as part of the City’s festivals programme.</w:t>
      </w:r>
    </w:p>
    <w:p w:rsidR="00211C38" w:rsidRPr="009E4C3E" w:rsidRDefault="00211C38" w:rsidP="009E4C3E">
      <w:pPr>
        <w:pStyle w:val="ListParagraph"/>
        <w:numPr>
          <w:ilvl w:val="0"/>
          <w:numId w:val="2"/>
        </w:numPr>
        <w:spacing w:after="0" w:line="240" w:lineRule="auto"/>
        <w:rPr>
          <w:rStyle w:val="apple-style-span"/>
          <w:rFonts w:ascii="Arial" w:eastAsia="Times New Roman" w:hAnsi="Arial" w:cs="Arial"/>
          <w:color w:val="0000FF"/>
          <w:sz w:val="24"/>
          <w:szCs w:val="24"/>
        </w:rPr>
      </w:pPr>
      <w:r w:rsidRPr="009E4C3E">
        <w:rPr>
          <w:rStyle w:val="apple-style-span"/>
          <w:rFonts w:ascii="Arial" w:eastAsia="Times New Roman" w:hAnsi="Arial" w:cs="Arial"/>
          <w:color w:val="0000FF"/>
          <w:sz w:val="24"/>
          <w:szCs w:val="24"/>
        </w:rPr>
        <w:t xml:space="preserve">The cost of the Diwali Lights Switch On event, which is usually attended by around 35,000 people, and is organised and run by Leicester City Council </w:t>
      </w:r>
    </w:p>
    <w:p w:rsidR="00211C38" w:rsidRPr="009E4C3E" w:rsidRDefault="00211C38" w:rsidP="009E4C3E">
      <w:pPr>
        <w:pStyle w:val="ListParagraph"/>
        <w:numPr>
          <w:ilvl w:val="0"/>
          <w:numId w:val="2"/>
        </w:numPr>
        <w:spacing w:after="0" w:line="240" w:lineRule="auto"/>
        <w:rPr>
          <w:rStyle w:val="apple-style-span"/>
          <w:rFonts w:ascii="Arial" w:eastAsia="Times New Roman" w:hAnsi="Arial" w:cs="Arial"/>
          <w:color w:val="0000FF"/>
          <w:sz w:val="24"/>
          <w:szCs w:val="24"/>
        </w:rPr>
      </w:pPr>
      <w:r w:rsidRPr="009E4C3E">
        <w:rPr>
          <w:rStyle w:val="apple-style-span"/>
          <w:rFonts w:ascii="Arial" w:eastAsia="Times New Roman" w:hAnsi="Arial" w:cs="Arial"/>
          <w:color w:val="0000FF"/>
          <w:sz w:val="24"/>
          <w:szCs w:val="24"/>
        </w:rPr>
        <w:t>The cost of the Diwali Day event, which is usually attended by around 35,000 people, and is organised and run by Leicester City Council</w:t>
      </w:r>
    </w:p>
    <w:p w:rsidR="00211C38" w:rsidRPr="009E4C3E" w:rsidRDefault="00211C38" w:rsidP="009E4C3E">
      <w:pPr>
        <w:pStyle w:val="ListParagraph"/>
        <w:numPr>
          <w:ilvl w:val="0"/>
          <w:numId w:val="2"/>
        </w:numPr>
        <w:spacing w:after="0" w:line="240" w:lineRule="auto"/>
        <w:rPr>
          <w:rStyle w:val="apple-style-span"/>
          <w:rFonts w:ascii="Arial" w:eastAsia="Times New Roman" w:hAnsi="Arial" w:cs="Arial"/>
          <w:color w:val="0000FF"/>
          <w:sz w:val="24"/>
          <w:szCs w:val="24"/>
        </w:rPr>
      </w:pPr>
      <w:r w:rsidRPr="009E4C3E">
        <w:rPr>
          <w:rStyle w:val="apple-style-span"/>
          <w:rFonts w:ascii="Arial" w:hAnsi="Arial" w:cs="Arial"/>
          <w:color w:val="0000FF"/>
          <w:sz w:val="24"/>
          <w:szCs w:val="24"/>
        </w:rPr>
        <w:t>The costs on both days include essential crowd safety measures because of the number of people who attend.</w:t>
      </w:r>
    </w:p>
    <w:p w:rsidR="00211C38" w:rsidRPr="009E4C3E" w:rsidRDefault="00211C38" w:rsidP="009E4C3E">
      <w:pPr>
        <w:pStyle w:val="ListParagraph"/>
        <w:numPr>
          <w:ilvl w:val="0"/>
          <w:numId w:val="2"/>
        </w:numPr>
        <w:spacing w:after="0" w:line="240" w:lineRule="auto"/>
        <w:rPr>
          <w:rStyle w:val="apple-style-span"/>
          <w:rFonts w:ascii="Arial" w:eastAsia="Times New Roman" w:hAnsi="Arial" w:cs="Arial"/>
          <w:color w:val="0000FF"/>
          <w:sz w:val="24"/>
          <w:szCs w:val="24"/>
        </w:rPr>
      </w:pPr>
      <w:r w:rsidRPr="009E4C3E">
        <w:rPr>
          <w:rStyle w:val="apple-style-span"/>
          <w:rFonts w:ascii="Arial" w:eastAsia="Times New Roman" w:hAnsi="Arial" w:cs="Arial"/>
          <w:color w:val="0000FF"/>
          <w:sz w:val="24"/>
          <w:szCs w:val="24"/>
        </w:rPr>
        <w:t>The cost of providing and maintaining the festive lights on Belgrave Road. In 2014/15 these lights were extended because the Belgrave Road flyover was removed. This figure includes the £91,726 one off cost of new lights and lighting replacement</w:t>
      </w:r>
    </w:p>
    <w:p w:rsidR="00211C38" w:rsidRPr="009E4C3E" w:rsidRDefault="00211C38" w:rsidP="009E4C3E">
      <w:pPr>
        <w:pStyle w:val="ListParagraph"/>
        <w:numPr>
          <w:ilvl w:val="0"/>
          <w:numId w:val="2"/>
        </w:numPr>
        <w:spacing w:after="0" w:line="240" w:lineRule="auto"/>
        <w:rPr>
          <w:rStyle w:val="apple-style-span"/>
          <w:rFonts w:ascii="Arial" w:eastAsia="Times New Roman" w:hAnsi="Arial" w:cs="Arial"/>
          <w:color w:val="0000FF"/>
          <w:sz w:val="24"/>
          <w:szCs w:val="24"/>
        </w:rPr>
      </w:pPr>
      <w:r w:rsidRPr="009E4C3E">
        <w:rPr>
          <w:rStyle w:val="apple-style-span"/>
          <w:rFonts w:ascii="Arial" w:eastAsia="Times New Roman" w:hAnsi="Arial" w:cs="Arial"/>
          <w:color w:val="0000FF"/>
          <w:sz w:val="24"/>
          <w:szCs w:val="24"/>
        </w:rPr>
        <w:t>The cost also reflects a current programme to update all festive lights used in the city to replace with cost saving LED systems. In addition, routine maintenance and setting up costs have been included.  The Diwali lights are adapted at the end of the Diwali period so they become Christmas lights, but the full cost is included here.</w:t>
      </w:r>
    </w:p>
    <w:p w:rsidR="00211C38" w:rsidRPr="009E4C3E" w:rsidRDefault="00211C38" w:rsidP="009E4C3E">
      <w:pPr>
        <w:pStyle w:val="ListParagraph"/>
        <w:numPr>
          <w:ilvl w:val="0"/>
          <w:numId w:val="2"/>
        </w:numPr>
        <w:spacing w:after="0" w:line="240" w:lineRule="auto"/>
        <w:rPr>
          <w:rStyle w:val="apple-style-span"/>
          <w:rFonts w:ascii="Arial" w:eastAsia="Times New Roman" w:hAnsi="Arial" w:cs="Arial"/>
          <w:color w:val="0000FF"/>
          <w:sz w:val="24"/>
          <w:szCs w:val="24"/>
        </w:rPr>
      </w:pPr>
      <w:r w:rsidRPr="009E4C3E">
        <w:rPr>
          <w:rStyle w:val="apple-style-span"/>
          <w:rFonts w:ascii="Arial" w:eastAsia="Times New Roman" w:hAnsi="Arial" w:cs="Arial"/>
          <w:color w:val="0000FF"/>
          <w:sz w:val="24"/>
          <w:szCs w:val="24"/>
        </w:rPr>
        <w:t>In 2014/15 therefore the total cost of the two Diwali events between them was £139,000.  This was made up of £88,000 allocated council budget and the remainder made up of income generation. This has been the usual cost of the actual two events for a number of years.</w:t>
      </w:r>
    </w:p>
    <w:p w:rsidR="00211C38" w:rsidRPr="009E4C3E" w:rsidRDefault="00211C38" w:rsidP="009E4C3E">
      <w:pPr>
        <w:pStyle w:val="ListParagraph"/>
        <w:numPr>
          <w:ilvl w:val="0"/>
          <w:numId w:val="2"/>
        </w:numPr>
        <w:spacing w:after="0" w:line="240" w:lineRule="auto"/>
        <w:rPr>
          <w:rStyle w:val="apple-style-span"/>
          <w:rFonts w:ascii="Arial" w:eastAsia="Times New Roman" w:hAnsi="Arial" w:cs="Arial"/>
          <w:color w:val="0000FF"/>
          <w:sz w:val="24"/>
          <w:szCs w:val="24"/>
        </w:rPr>
      </w:pPr>
      <w:r w:rsidRPr="009E4C3E">
        <w:rPr>
          <w:rStyle w:val="apple-style-span"/>
          <w:rFonts w:ascii="Arial" w:eastAsia="Times New Roman" w:hAnsi="Arial" w:cs="Arial"/>
          <w:color w:val="0000FF"/>
          <w:sz w:val="24"/>
          <w:szCs w:val="24"/>
        </w:rPr>
        <w:t xml:space="preserve">The figures for 2015/16 are not yet available because of the short time that has elapsed since Diwali. </w:t>
      </w:r>
    </w:p>
    <w:p w:rsidR="00211C38" w:rsidRDefault="00211C38" w:rsidP="00211C38">
      <w:pPr>
        <w:pStyle w:val="ListParagraph"/>
        <w:ind w:left="360"/>
      </w:pPr>
    </w:p>
    <w:tbl>
      <w:tblPr>
        <w:tblStyle w:val="TableGrid"/>
        <w:tblW w:w="11057" w:type="dxa"/>
        <w:tblInd w:w="-1026" w:type="dxa"/>
        <w:tblLook w:val="04A0" w:firstRow="1" w:lastRow="0" w:firstColumn="1" w:lastColumn="0" w:noHBand="0" w:noVBand="1"/>
      </w:tblPr>
      <w:tblGrid>
        <w:gridCol w:w="969"/>
        <w:gridCol w:w="1009"/>
        <w:gridCol w:w="1052"/>
        <w:gridCol w:w="1052"/>
        <w:gridCol w:w="1052"/>
        <w:gridCol w:w="1052"/>
        <w:gridCol w:w="1052"/>
        <w:gridCol w:w="1052"/>
        <w:gridCol w:w="1052"/>
        <w:gridCol w:w="1052"/>
        <w:gridCol w:w="1052"/>
      </w:tblGrid>
      <w:tr w:rsidR="00211C38" w:rsidTr="009E4C3E">
        <w:trPr>
          <w:trHeight w:val="509"/>
        </w:trPr>
        <w:tc>
          <w:tcPr>
            <w:tcW w:w="959" w:type="dxa"/>
            <w:shd w:val="clear" w:color="auto" w:fill="D9D9D9" w:themeFill="background1" w:themeFillShade="D9"/>
          </w:tcPr>
          <w:p w:rsidR="00211C38" w:rsidRDefault="00211C38" w:rsidP="00211C38"/>
        </w:tc>
        <w:tc>
          <w:tcPr>
            <w:tcW w:w="1046" w:type="dxa"/>
            <w:shd w:val="clear" w:color="auto" w:fill="D9D9D9" w:themeFill="background1" w:themeFillShade="D9"/>
          </w:tcPr>
          <w:p w:rsidR="00211C38" w:rsidRPr="009E4C3E" w:rsidRDefault="00211C38" w:rsidP="00211C38">
            <w:pPr>
              <w:rPr>
                <w:b/>
                <w:color w:val="0000FF"/>
              </w:rPr>
            </w:pPr>
            <w:r w:rsidRPr="009E4C3E">
              <w:rPr>
                <w:b/>
                <w:color w:val="0000FF"/>
              </w:rPr>
              <w:t>2015/16</w:t>
            </w:r>
          </w:p>
        </w:tc>
        <w:tc>
          <w:tcPr>
            <w:tcW w:w="1100" w:type="dxa"/>
            <w:shd w:val="clear" w:color="auto" w:fill="D9D9D9" w:themeFill="background1" w:themeFillShade="D9"/>
          </w:tcPr>
          <w:p w:rsidR="00211C38" w:rsidRPr="009E4C3E" w:rsidRDefault="00211C38" w:rsidP="0084471D">
            <w:pPr>
              <w:rPr>
                <w:b/>
                <w:color w:val="0000FF"/>
              </w:rPr>
            </w:pPr>
            <w:r w:rsidRPr="009E4C3E">
              <w:rPr>
                <w:b/>
                <w:color w:val="0000FF"/>
              </w:rPr>
              <w:t>2014/15</w:t>
            </w:r>
          </w:p>
        </w:tc>
        <w:tc>
          <w:tcPr>
            <w:tcW w:w="970" w:type="dxa"/>
            <w:shd w:val="clear" w:color="auto" w:fill="D9D9D9" w:themeFill="background1" w:themeFillShade="D9"/>
          </w:tcPr>
          <w:p w:rsidR="00211C38" w:rsidRPr="009E4C3E" w:rsidRDefault="00211C38" w:rsidP="0084471D">
            <w:pPr>
              <w:rPr>
                <w:b/>
                <w:color w:val="0000FF"/>
              </w:rPr>
            </w:pPr>
            <w:r w:rsidRPr="009E4C3E">
              <w:rPr>
                <w:b/>
                <w:color w:val="0000FF"/>
              </w:rPr>
              <w:t>2013/14</w:t>
            </w:r>
          </w:p>
        </w:tc>
        <w:tc>
          <w:tcPr>
            <w:tcW w:w="970" w:type="dxa"/>
            <w:shd w:val="clear" w:color="auto" w:fill="D9D9D9" w:themeFill="background1" w:themeFillShade="D9"/>
          </w:tcPr>
          <w:p w:rsidR="00211C38" w:rsidRPr="009E4C3E" w:rsidRDefault="00211C38" w:rsidP="0084471D">
            <w:pPr>
              <w:rPr>
                <w:b/>
                <w:color w:val="0000FF"/>
              </w:rPr>
            </w:pPr>
            <w:r w:rsidRPr="009E4C3E">
              <w:rPr>
                <w:b/>
                <w:color w:val="0000FF"/>
              </w:rPr>
              <w:t>2012/13</w:t>
            </w:r>
          </w:p>
        </w:tc>
        <w:tc>
          <w:tcPr>
            <w:tcW w:w="970" w:type="dxa"/>
            <w:shd w:val="clear" w:color="auto" w:fill="D9D9D9" w:themeFill="background1" w:themeFillShade="D9"/>
          </w:tcPr>
          <w:p w:rsidR="00211C38" w:rsidRPr="009E4C3E" w:rsidRDefault="00211C38" w:rsidP="0084471D">
            <w:pPr>
              <w:rPr>
                <w:b/>
                <w:color w:val="0000FF"/>
              </w:rPr>
            </w:pPr>
            <w:r w:rsidRPr="009E4C3E">
              <w:rPr>
                <w:b/>
                <w:color w:val="0000FF"/>
              </w:rPr>
              <w:t>2011/12</w:t>
            </w:r>
          </w:p>
        </w:tc>
        <w:tc>
          <w:tcPr>
            <w:tcW w:w="970" w:type="dxa"/>
            <w:shd w:val="clear" w:color="auto" w:fill="D9D9D9" w:themeFill="background1" w:themeFillShade="D9"/>
          </w:tcPr>
          <w:p w:rsidR="00211C38" w:rsidRPr="009E4C3E" w:rsidRDefault="00211C38" w:rsidP="0084471D">
            <w:pPr>
              <w:rPr>
                <w:b/>
                <w:color w:val="0000FF"/>
              </w:rPr>
            </w:pPr>
            <w:r w:rsidRPr="009E4C3E">
              <w:rPr>
                <w:b/>
                <w:color w:val="0000FF"/>
              </w:rPr>
              <w:t>2010/11</w:t>
            </w:r>
          </w:p>
        </w:tc>
        <w:tc>
          <w:tcPr>
            <w:tcW w:w="970" w:type="dxa"/>
            <w:shd w:val="clear" w:color="auto" w:fill="D9D9D9" w:themeFill="background1" w:themeFillShade="D9"/>
          </w:tcPr>
          <w:p w:rsidR="00211C38" w:rsidRPr="009E4C3E" w:rsidRDefault="00211C38" w:rsidP="0084471D">
            <w:pPr>
              <w:rPr>
                <w:b/>
                <w:color w:val="0000FF"/>
              </w:rPr>
            </w:pPr>
            <w:r w:rsidRPr="009E4C3E">
              <w:rPr>
                <w:b/>
                <w:color w:val="0000FF"/>
              </w:rPr>
              <w:t>2009/10</w:t>
            </w:r>
          </w:p>
        </w:tc>
        <w:tc>
          <w:tcPr>
            <w:tcW w:w="970" w:type="dxa"/>
            <w:shd w:val="clear" w:color="auto" w:fill="D9D9D9" w:themeFill="background1" w:themeFillShade="D9"/>
          </w:tcPr>
          <w:p w:rsidR="00211C38" w:rsidRPr="009E4C3E" w:rsidRDefault="00211C38" w:rsidP="0084471D">
            <w:pPr>
              <w:rPr>
                <w:b/>
                <w:color w:val="0000FF"/>
              </w:rPr>
            </w:pPr>
            <w:r w:rsidRPr="009E4C3E">
              <w:rPr>
                <w:b/>
                <w:color w:val="0000FF"/>
              </w:rPr>
              <w:t>2008/09</w:t>
            </w:r>
          </w:p>
        </w:tc>
        <w:tc>
          <w:tcPr>
            <w:tcW w:w="970" w:type="dxa"/>
            <w:shd w:val="clear" w:color="auto" w:fill="D9D9D9" w:themeFill="background1" w:themeFillShade="D9"/>
          </w:tcPr>
          <w:p w:rsidR="00211C38" w:rsidRPr="009E4C3E" w:rsidRDefault="00211C38" w:rsidP="0084471D">
            <w:pPr>
              <w:rPr>
                <w:b/>
                <w:color w:val="0000FF"/>
              </w:rPr>
            </w:pPr>
            <w:r w:rsidRPr="009E4C3E">
              <w:rPr>
                <w:b/>
                <w:color w:val="0000FF"/>
              </w:rPr>
              <w:t>2007/08</w:t>
            </w:r>
          </w:p>
        </w:tc>
        <w:tc>
          <w:tcPr>
            <w:tcW w:w="1162" w:type="dxa"/>
            <w:shd w:val="clear" w:color="auto" w:fill="D9D9D9" w:themeFill="background1" w:themeFillShade="D9"/>
          </w:tcPr>
          <w:p w:rsidR="00211C38" w:rsidRPr="009E4C3E" w:rsidRDefault="00211C38" w:rsidP="0084471D">
            <w:pPr>
              <w:rPr>
                <w:b/>
                <w:color w:val="0000FF"/>
              </w:rPr>
            </w:pPr>
            <w:r w:rsidRPr="009E4C3E">
              <w:rPr>
                <w:b/>
                <w:color w:val="0000FF"/>
              </w:rPr>
              <w:t>2006/07</w:t>
            </w:r>
          </w:p>
        </w:tc>
      </w:tr>
      <w:tr w:rsidR="00211C38" w:rsidTr="009E4C3E">
        <w:trPr>
          <w:trHeight w:val="715"/>
        </w:trPr>
        <w:tc>
          <w:tcPr>
            <w:tcW w:w="959" w:type="dxa"/>
            <w:shd w:val="clear" w:color="auto" w:fill="D9D9D9" w:themeFill="background1" w:themeFillShade="D9"/>
          </w:tcPr>
          <w:p w:rsidR="00211C38" w:rsidRPr="009E4C3E" w:rsidRDefault="00211C38" w:rsidP="00211C38">
            <w:pPr>
              <w:rPr>
                <w:b/>
                <w:color w:val="0000FF"/>
              </w:rPr>
            </w:pPr>
          </w:p>
          <w:p w:rsidR="00211C38" w:rsidRPr="009E4C3E" w:rsidRDefault="00211C38" w:rsidP="00211C38">
            <w:pPr>
              <w:rPr>
                <w:b/>
                <w:color w:val="0000FF"/>
              </w:rPr>
            </w:pPr>
            <w:r w:rsidRPr="009E4C3E">
              <w:rPr>
                <w:b/>
                <w:color w:val="0000FF"/>
              </w:rPr>
              <w:t>Diwali</w:t>
            </w:r>
          </w:p>
        </w:tc>
        <w:tc>
          <w:tcPr>
            <w:tcW w:w="1046" w:type="dxa"/>
          </w:tcPr>
          <w:p w:rsidR="00211C38" w:rsidRPr="009E4C3E" w:rsidRDefault="00211C38" w:rsidP="00211C38">
            <w:pPr>
              <w:rPr>
                <w:color w:val="0000FF"/>
              </w:rPr>
            </w:pPr>
            <w:r w:rsidRPr="009E4C3E">
              <w:rPr>
                <w:rFonts w:ascii="Calibri" w:eastAsia="Times New Roman" w:hAnsi="Calibri" w:cs="Times New Roman"/>
                <w:color w:val="0000FF"/>
                <w:lang w:eastAsia="en-GB"/>
              </w:rPr>
              <w:t>Not yet available</w:t>
            </w:r>
          </w:p>
        </w:tc>
        <w:tc>
          <w:tcPr>
            <w:tcW w:w="1100" w:type="dxa"/>
          </w:tcPr>
          <w:p w:rsidR="00211C38" w:rsidRPr="009E4C3E" w:rsidRDefault="00211C38" w:rsidP="00211C38">
            <w:pPr>
              <w:rPr>
                <w:color w:val="0000FF"/>
              </w:rPr>
            </w:pPr>
          </w:p>
          <w:p w:rsidR="00211C38" w:rsidRPr="009E4C3E" w:rsidRDefault="00211C38" w:rsidP="00211C38">
            <w:pPr>
              <w:rPr>
                <w:color w:val="0000FF"/>
              </w:rPr>
            </w:pPr>
            <w:r w:rsidRPr="009E4C3E">
              <w:rPr>
                <w:color w:val="0000FF"/>
              </w:rPr>
              <w:t>£274,046</w:t>
            </w:r>
          </w:p>
        </w:tc>
        <w:tc>
          <w:tcPr>
            <w:tcW w:w="970" w:type="dxa"/>
          </w:tcPr>
          <w:p w:rsidR="00211C38" w:rsidRPr="009E4C3E" w:rsidRDefault="00211C38" w:rsidP="00211C38">
            <w:pPr>
              <w:jc w:val="center"/>
              <w:rPr>
                <w:color w:val="0000FF"/>
              </w:rPr>
            </w:pPr>
          </w:p>
          <w:p w:rsidR="00211C38" w:rsidRPr="009E4C3E" w:rsidRDefault="00211C38" w:rsidP="00211C38">
            <w:pPr>
              <w:jc w:val="center"/>
              <w:rPr>
                <w:color w:val="0000FF"/>
              </w:rPr>
            </w:pPr>
            <w:r w:rsidRPr="009E4C3E">
              <w:rPr>
                <w:color w:val="0000FF"/>
              </w:rPr>
              <w:t>£167,361</w:t>
            </w:r>
          </w:p>
        </w:tc>
        <w:tc>
          <w:tcPr>
            <w:tcW w:w="970" w:type="dxa"/>
          </w:tcPr>
          <w:p w:rsidR="00211C38" w:rsidRPr="009E4C3E" w:rsidRDefault="00211C38" w:rsidP="00211C38">
            <w:pPr>
              <w:jc w:val="center"/>
              <w:rPr>
                <w:color w:val="0000FF"/>
              </w:rPr>
            </w:pPr>
          </w:p>
          <w:p w:rsidR="00211C38" w:rsidRPr="009E4C3E" w:rsidRDefault="00211C38" w:rsidP="00211C38">
            <w:pPr>
              <w:jc w:val="center"/>
              <w:rPr>
                <w:color w:val="0000FF"/>
              </w:rPr>
            </w:pPr>
            <w:r w:rsidRPr="009E4C3E">
              <w:rPr>
                <w:color w:val="0000FF"/>
              </w:rPr>
              <w:t>£136,816</w:t>
            </w:r>
          </w:p>
        </w:tc>
        <w:tc>
          <w:tcPr>
            <w:tcW w:w="970" w:type="dxa"/>
          </w:tcPr>
          <w:p w:rsidR="00211C38" w:rsidRPr="009E4C3E" w:rsidRDefault="00211C38" w:rsidP="00211C38">
            <w:pPr>
              <w:jc w:val="center"/>
              <w:rPr>
                <w:color w:val="0000FF"/>
              </w:rPr>
            </w:pPr>
          </w:p>
          <w:p w:rsidR="00211C38" w:rsidRPr="009E4C3E" w:rsidRDefault="00211C38" w:rsidP="00211C38">
            <w:pPr>
              <w:jc w:val="center"/>
              <w:rPr>
                <w:color w:val="0000FF"/>
              </w:rPr>
            </w:pPr>
            <w:r w:rsidRPr="009E4C3E">
              <w:rPr>
                <w:color w:val="0000FF"/>
              </w:rPr>
              <w:t>£123,945</w:t>
            </w:r>
          </w:p>
        </w:tc>
        <w:tc>
          <w:tcPr>
            <w:tcW w:w="970" w:type="dxa"/>
          </w:tcPr>
          <w:p w:rsidR="00211C38" w:rsidRPr="009E4C3E" w:rsidRDefault="00211C38" w:rsidP="00211C38">
            <w:pPr>
              <w:jc w:val="center"/>
              <w:rPr>
                <w:color w:val="0000FF"/>
              </w:rPr>
            </w:pPr>
          </w:p>
          <w:p w:rsidR="00211C38" w:rsidRPr="009E4C3E" w:rsidRDefault="00211C38" w:rsidP="00211C38">
            <w:pPr>
              <w:jc w:val="center"/>
              <w:rPr>
                <w:color w:val="0000FF"/>
              </w:rPr>
            </w:pPr>
            <w:r w:rsidRPr="009E4C3E">
              <w:rPr>
                <w:color w:val="0000FF"/>
              </w:rPr>
              <w:t>£149,615</w:t>
            </w:r>
          </w:p>
        </w:tc>
        <w:tc>
          <w:tcPr>
            <w:tcW w:w="970" w:type="dxa"/>
          </w:tcPr>
          <w:p w:rsidR="00211C38" w:rsidRPr="009E4C3E" w:rsidRDefault="00211C38" w:rsidP="00211C38">
            <w:pPr>
              <w:jc w:val="center"/>
              <w:rPr>
                <w:color w:val="0000FF"/>
              </w:rPr>
            </w:pPr>
          </w:p>
          <w:p w:rsidR="00211C38" w:rsidRPr="009E4C3E" w:rsidRDefault="00211C38" w:rsidP="00211C38">
            <w:pPr>
              <w:jc w:val="center"/>
              <w:rPr>
                <w:color w:val="0000FF"/>
              </w:rPr>
            </w:pPr>
            <w:r w:rsidRPr="009E4C3E">
              <w:rPr>
                <w:color w:val="0000FF"/>
              </w:rPr>
              <w:t>£135,135</w:t>
            </w:r>
          </w:p>
        </w:tc>
        <w:tc>
          <w:tcPr>
            <w:tcW w:w="970" w:type="dxa"/>
          </w:tcPr>
          <w:p w:rsidR="00211C38" w:rsidRPr="009E4C3E" w:rsidRDefault="00211C38" w:rsidP="00211C38">
            <w:pPr>
              <w:jc w:val="center"/>
              <w:rPr>
                <w:color w:val="0000FF"/>
              </w:rPr>
            </w:pPr>
          </w:p>
          <w:p w:rsidR="00211C38" w:rsidRPr="009E4C3E" w:rsidRDefault="00211C38" w:rsidP="00211C38">
            <w:pPr>
              <w:jc w:val="center"/>
              <w:rPr>
                <w:color w:val="0000FF"/>
              </w:rPr>
            </w:pPr>
            <w:r w:rsidRPr="009E4C3E">
              <w:rPr>
                <w:color w:val="0000FF"/>
              </w:rPr>
              <w:t>£120,461</w:t>
            </w:r>
          </w:p>
        </w:tc>
        <w:tc>
          <w:tcPr>
            <w:tcW w:w="970" w:type="dxa"/>
          </w:tcPr>
          <w:p w:rsidR="00211C38" w:rsidRPr="009E4C3E" w:rsidRDefault="00211C38" w:rsidP="00211C38">
            <w:pPr>
              <w:jc w:val="center"/>
              <w:rPr>
                <w:color w:val="0000FF"/>
              </w:rPr>
            </w:pPr>
          </w:p>
          <w:p w:rsidR="00211C38" w:rsidRPr="009E4C3E" w:rsidRDefault="00211C38" w:rsidP="00211C38">
            <w:pPr>
              <w:jc w:val="center"/>
              <w:rPr>
                <w:color w:val="0000FF"/>
              </w:rPr>
            </w:pPr>
            <w:r w:rsidRPr="009E4C3E">
              <w:rPr>
                <w:color w:val="0000FF"/>
              </w:rPr>
              <w:t>£128,267</w:t>
            </w:r>
          </w:p>
        </w:tc>
        <w:tc>
          <w:tcPr>
            <w:tcW w:w="1162" w:type="dxa"/>
          </w:tcPr>
          <w:p w:rsidR="00211C38" w:rsidRPr="009E4C3E" w:rsidRDefault="00211C38" w:rsidP="00211C38">
            <w:pPr>
              <w:jc w:val="center"/>
              <w:rPr>
                <w:color w:val="0000FF"/>
              </w:rPr>
            </w:pPr>
          </w:p>
          <w:p w:rsidR="00211C38" w:rsidRPr="009E4C3E" w:rsidRDefault="00211C38" w:rsidP="00211C38">
            <w:pPr>
              <w:jc w:val="center"/>
              <w:rPr>
                <w:color w:val="0000FF"/>
              </w:rPr>
            </w:pPr>
            <w:r w:rsidRPr="009E4C3E">
              <w:rPr>
                <w:color w:val="0000FF"/>
              </w:rPr>
              <w:t>£106,261</w:t>
            </w:r>
          </w:p>
        </w:tc>
      </w:tr>
      <w:tr w:rsidR="00211C38" w:rsidTr="009E4C3E">
        <w:trPr>
          <w:trHeight w:val="682"/>
        </w:trPr>
        <w:tc>
          <w:tcPr>
            <w:tcW w:w="959" w:type="dxa"/>
            <w:shd w:val="clear" w:color="auto" w:fill="D9D9D9" w:themeFill="background1" w:themeFillShade="D9"/>
          </w:tcPr>
          <w:p w:rsidR="00211C38" w:rsidRPr="009E4C3E" w:rsidRDefault="00211C38" w:rsidP="00211C38">
            <w:pPr>
              <w:rPr>
                <w:b/>
                <w:color w:val="0000FF"/>
              </w:rPr>
            </w:pPr>
          </w:p>
          <w:p w:rsidR="00211C38" w:rsidRPr="009E4C3E" w:rsidRDefault="00211C38" w:rsidP="00211C38">
            <w:pPr>
              <w:rPr>
                <w:b/>
                <w:color w:val="0000FF"/>
              </w:rPr>
            </w:pPr>
            <w:r w:rsidRPr="009E4C3E">
              <w:rPr>
                <w:b/>
                <w:color w:val="0000FF"/>
              </w:rPr>
              <w:t>Navratri</w:t>
            </w:r>
          </w:p>
        </w:tc>
        <w:tc>
          <w:tcPr>
            <w:tcW w:w="1046" w:type="dxa"/>
          </w:tcPr>
          <w:p w:rsidR="00211C38" w:rsidRPr="009E4C3E" w:rsidRDefault="00211C38" w:rsidP="00211C38">
            <w:pPr>
              <w:rPr>
                <w:rFonts w:ascii="Calibri" w:eastAsia="Times New Roman" w:hAnsi="Calibri" w:cs="Times New Roman"/>
                <w:color w:val="0000FF"/>
                <w:lang w:eastAsia="en-GB"/>
              </w:rPr>
            </w:pPr>
          </w:p>
          <w:p w:rsidR="00211C38" w:rsidRPr="009E4C3E" w:rsidRDefault="00211C38" w:rsidP="00211C38">
            <w:pPr>
              <w:rPr>
                <w:color w:val="0000FF"/>
              </w:rPr>
            </w:pPr>
            <w:r w:rsidRPr="009E4C3E">
              <w:rPr>
                <w:rFonts w:ascii="Calibri" w:eastAsia="Times New Roman" w:hAnsi="Calibri" w:cs="Times New Roman"/>
                <w:color w:val="0000FF"/>
                <w:lang w:eastAsia="en-GB"/>
              </w:rPr>
              <w:t>£5,000</w:t>
            </w:r>
          </w:p>
        </w:tc>
        <w:tc>
          <w:tcPr>
            <w:tcW w:w="1100" w:type="dxa"/>
          </w:tcPr>
          <w:p w:rsidR="00211C38" w:rsidRPr="009E4C3E" w:rsidRDefault="00211C38" w:rsidP="001D2322">
            <w:pPr>
              <w:rPr>
                <w:color w:val="0000FF"/>
              </w:rPr>
            </w:pPr>
          </w:p>
          <w:p w:rsidR="00211C38" w:rsidRPr="009E4C3E" w:rsidRDefault="00211C38" w:rsidP="001D2322">
            <w:pPr>
              <w:rPr>
                <w:color w:val="0000FF"/>
              </w:rPr>
            </w:pPr>
            <w:r w:rsidRPr="009E4C3E">
              <w:rPr>
                <w:color w:val="0000FF"/>
              </w:rPr>
              <w:t>£20,000</w:t>
            </w:r>
          </w:p>
        </w:tc>
        <w:tc>
          <w:tcPr>
            <w:tcW w:w="970" w:type="dxa"/>
          </w:tcPr>
          <w:p w:rsidR="00211C38" w:rsidRPr="009E4C3E" w:rsidRDefault="00211C38" w:rsidP="001D2322">
            <w:pPr>
              <w:rPr>
                <w:color w:val="0000FF"/>
              </w:rPr>
            </w:pPr>
          </w:p>
          <w:p w:rsidR="00211C38" w:rsidRPr="009E4C3E" w:rsidRDefault="00211C38" w:rsidP="001D2322">
            <w:pPr>
              <w:rPr>
                <w:color w:val="0000FF"/>
              </w:rPr>
            </w:pPr>
            <w:r w:rsidRPr="009E4C3E">
              <w:rPr>
                <w:color w:val="0000FF"/>
              </w:rPr>
              <w:t>£20,000</w:t>
            </w:r>
          </w:p>
        </w:tc>
        <w:tc>
          <w:tcPr>
            <w:tcW w:w="970" w:type="dxa"/>
          </w:tcPr>
          <w:p w:rsidR="00211C38" w:rsidRPr="009E4C3E" w:rsidRDefault="00211C38" w:rsidP="001D2322">
            <w:pPr>
              <w:rPr>
                <w:color w:val="0000FF"/>
              </w:rPr>
            </w:pPr>
          </w:p>
          <w:p w:rsidR="00211C38" w:rsidRPr="009E4C3E" w:rsidRDefault="00211C38" w:rsidP="001D2322">
            <w:pPr>
              <w:rPr>
                <w:color w:val="0000FF"/>
              </w:rPr>
            </w:pPr>
            <w:r w:rsidRPr="009E4C3E">
              <w:rPr>
                <w:color w:val="0000FF"/>
              </w:rPr>
              <w:t>£20,000</w:t>
            </w:r>
          </w:p>
        </w:tc>
        <w:tc>
          <w:tcPr>
            <w:tcW w:w="970" w:type="dxa"/>
          </w:tcPr>
          <w:p w:rsidR="00211C38" w:rsidRPr="009E4C3E" w:rsidRDefault="00211C38" w:rsidP="001D2322">
            <w:pPr>
              <w:rPr>
                <w:color w:val="0000FF"/>
              </w:rPr>
            </w:pPr>
          </w:p>
          <w:p w:rsidR="00211C38" w:rsidRPr="009E4C3E" w:rsidRDefault="00211C38" w:rsidP="001D2322">
            <w:pPr>
              <w:rPr>
                <w:color w:val="0000FF"/>
              </w:rPr>
            </w:pPr>
            <w:r w:rsidRPr="009E4C3E">
              <w:rPr>
                <w:color w:val="0000FF"/>
              </w:rPr>
              <w:t>£20,000</w:t>
            </w:r>
          </w:p>
        </w:tc>
        <w:tc>
          <w:tcPr>
            <w:tcW w:w="970" w:type="dxa"/>
          </w:tcPr>
          <w:p w:rsidR="00211C38" w:rsidRPr="009E4C3E" w:rsidRDefault="00211C38" w:rsidP="001D2322">
            <w:pPr>
              <w:rPr>
                <w:color w:val="0000FF"/>
              </w:rPr>
            </w:pPr>
          </w:p>
          <w:p w:rsidR="00211C38" w:rsidRPr="009E4C3E" w:rsidRDefault="00211C38" w:rsidP="001D2322">
            <w:pPr>
              <w:rPr>
                <w:color w:val="0000FF"/>
              </w:rPr>
            </w:pPr>
            <w:r w:rsidRPr="009E4C3E">
              <w:rPr>
                <w:color w:val="0000FF"/>
              </w:rPr>
              <w:t>£20,000</w:t>
            </w:r>
          </w:p>
        </w:tc>
        <w:tc>
          <w:tcPr>
            <w:tcW w:w="970" w:type="dxa"/>
          </w:tcPr>
          <w:p w:rsidR="00211C38" w:rsidRPr="009E4C3E" w:rsidRDefault="00211C38" w:rsidP="001D2322">
            <w:pPr>
              <w:rPr>
                <w:color w:val="0000FF"/>
              </w:rPr>
            </w:pPr>
          </w:p>
          <w:p w:rsidR="00211C38" w:rsidRPr="009E4C3E" w:rsidRDefault="00211C38" w:rsidP="001D2322">
            <w:pPr>
              <w:rPr>
                <w:color w:val="0000FF"/>
              </w:rPr>
            </w:pPr>
            <w:r w:rsidRPr="009E4C3E">
              <w:rPr>
                <w:color w:val="0000FF"/>
              </w:rPr>
              <w:t>£20,000</w:t>
            </w:r>
          </w:p>
        </w:tc>
        <w:tc>
          <w:tcPr>
            <w:tcW w:w="970" w:type="dxa"/>
          </w:tcPr>
          <w:p w:rsidR="00211C38" w:rsidRPr="009E4C3E" w:rsidRDefault="00211C38" w:rsidP="001D2322">
            <w:pPr>
              <w:rPr>
                <w:color w:val="0000FF"/>
              </w:rPr>
            </w:pPr>
          </w:p>
          <w:p w:rsidR="00211C38" w:rsidRPr="009E4C3E" w:rsidRDefault="00211C38" w:rsidP="001D2322">
            <w:pPr>
              <w:rPr>
                <w:color w:val="0000FF"/>
              </w:rPr>
            </w:pPr>
            <w:r w:rsidRPr="009E4C3E">
              <w:rPr>
                <w:color w:val="0000FF"/>
              </w:rPr>
              <w:t>£20,000</w:t>
            </w:r>
          </w:p>
        </w:tc>
        <w:tc>
          <w:tcPr>
            <w:tcW w:w="970" w:type="dxa"/>
          </w:tcPr>
          <w:p w:rsidR="00211C38" w:rsidRPr="009E4C3E" w:rsidRDefault="00211C38" w:rsidP="001D2322">
            <w:pPr>
              <w:rPr>
                <w:color w:val="0000FF"/>
              </w:rPr>
            </w:pPr>
          </w:p>
          <w:p w:rsidR="00211C38" w:rsidRPr="009E4C3E" w:rsidRDefault="00211C38" w:rsidP="001D2322">
            <w:pPr>
              <w:rPr>
                <w:color w:val="0000FF"/>
              </w:rPr>
            </w:pPr>
            <w:r w:rsidRPr="009E4C3E">
              <w:rPr>
                <w:color w:val="0000FF"/>
              </w:rPr>
              <w:t>£20,000</w:t>
            </w:r>
          </w:p>
        </w:tc>
        <w:tc>
          <w:tcPr>
            <w:tcW w:w="1162" w:type="dxa"/>
          </w:tcPr>
          <w:p w:rsidR="00211C38" w:rsidRPr="009E4C3E" w:rsidRDefault="00211C38" w:rsidP="001D2322">
            <w:pPr>
              <w:rPr>
                <w:color w:val="0000FF"/>
              </w:rPr>
            </w:pPr>
          </w:p>
          <w:p w:rsidR="00211C38" w:rsidRPr="009E4C3E" w:rsidRDefault="00211C38" w:rsidP="001D2322">
            <w:pPr>
              <w:rPr>
                <w:color w:val="0000FF"/>
              </w:rPr>
            </w:pPr>
            <w:r w:rsidRPr="009E4C3E">
              <w:rPr>
                <w:color w:val="0000FF"/>
              </w:rPr>
              <w:t>£19,000</w:t>
            </w:r>
          </w:p>
        </w:tc>
      </w:tr>
    </w:tbl>
    <w:p w:rsidR="00CA6260" w:rsidRDefault="00CA6260" w:rsidP="00211C38"/>
    <w:sectPr w:rsidR="00CA6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D4C82"/>
    <w:multiLevelType w:val="hybridMultilevel"/>
    <w:tmpl w:val="206062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A522BE0"/>
    <w:multiLevelType w:val="hybridMultilevel"/>
    <w:tmpl w:val="86863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38"/>
    <w:rsid w:val="00211C38"/>
    <w:rsid w:val="00342E95"/>
    <w:rsid w:val="00361A89"/>
    <w:rsid w:val="00822008"/>
    <w:rsid w:val="009E4C3E"/>
    <w:rsid w:val="00CA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C38"/>
    <w:pPr>
      <w:ind w:left="720"/>
      <w:contextualSpacing/>
    </w:pPr>
  </w:style>
  <w:style w:type="table" w:styleId="TableGrid">
    <w:name w:val="Table Grid"/>
    <w:basedOn w:val="TableNormal"/>
    <w:uiPriority w:val="59"/>
    <w:rsid w:val="0021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E4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C38"/>
    <w:pPr>
      <w:ind w:left="720"/>
      <w:contextualSpacing/>
    </w:pPr>
  </w:style>
  <w:style w:type="table" w:styleId="TableGrid">
    <w:name w:val="Table Grid"/>
    <w:basedOn w:val="TableNormal"/>
    <w:uiPriority w:val="59"/>
    <w:rsid w:val="0021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9E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B27C-4B63-43A6-91B8-1A9CF279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Komal Valand</dc:creator>
  <cp:lastModifiedBy>Helen Bowler</cp:lastModifiedBy>
  <cp:revision>2</cp:revision>
  <dcterms:created xsi:type="dcterms:W3CDTF">2015-12-04T09:19:00Z</dcterms:created>
  <dcterms:modified xsi:type="dcterms:W3CDTF">2015-12-04T09:19:00Z</dcterms:modified>
</cp:coreProperties>
</file>