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FE" w:rsidRDefault="00FC09FE" w:rsidP="00FC09FE">
      <w:pPr>
        <w:rPr>
          <w:rFonts w:ascii="Arial" w:hAnsi="Arial" w:cs="Arial"/>
          <w:sz w:val="24"/>
          <w:szCs w:val="24"/>
        </w:rPr>
      </w:pPr>
    </w:p>
    <w:p w:rsidR="00FC09FE" w:rsidRPr="00FC09FE" w:rsidRDefault="003B5718" w:rsidP="00250D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Appendix: </w:t>
      </w:r>
      <w:r w:rsidR="00FC09FE" w:rsidRPr="00FC09FE">
        <w:rPr>
          <w:rFonts w:ascii="Arial" w:hAnsi="Arial" w:cs="Arial"/>
          <w:b/>
          <w:sz w:val="24"/>
          <w:szCs w:val="24"/>
          <w:u w:val="single"/>
        </w:rPr>
        <w:t xml:space="preserve">Proposed Increase to </w:t>
      </w:r>
      <w:r w:rsidR="00F60662">
        <w:rPr>
          <w:rFonts w:ascii="Arial" w:hAnsi="Arial" w:cs="Arial"/>
          <w:b/>
          <w:sz w:val="24"/>
          <w:szCs w:val="24"/>
          <w:u w:val="single"/>
        </w:rPr>
        <w:t>Domiciliary Care Payment</w:t>
      </w:r>
      <w:r w:rsidR="00FC09FE" w:rsidRPr="00FC09FE">
        <w:rPr>
          <w:rFonts w:ascii="Arial" w:hAnsi="Arial" w:cs="Arial"/>
          <w:b/>
          <w:sz w:val="24"/>
          <w:szCs w:val="24"/>
          <w:u w:val="single"/>
        </w:rPr>
        <w:t xml:space="preserve"> Rates</w:t>
      </w:r>
    </w:p>
    <w:p w:rsidR="00FC09FE" w:rsidRPr="00250D35" w:rsidRDefault="00FC09FE" w:rsidP="00FC09FE">
      <w:pPr>
        <w:rPr>
          <w:rFonts w:ascii="Arial" w:hAnsi="Arial" w:cs="Arial"/>
          <w:szCs w:val="24"/>
        </w:rPr>
      </w:pPr>
      <w:r w:rsidRPr="00250D35">
        <w:rPr>
          <w:rFonts w:ascii="Arial" w:hAnsi="Arial" w:cs="Arial"/>
          <w:szCs w:val="24"/>
        </w:rPr>
        <w:t xml:space="preserve">The calculation shown below considers the </w:t>
      </w:r>
      <w:r w:rsidR="00C475EC" w:rsidRPr="00250D35">
        <w:rPr>
          <w:rFonts w:ascii="Arial" w:hAnsi="Arial" w:cs="Arial"/>
          <w:szCs w:val="24"/>
        </w:rPr>
        <w:t xml:space="preserve">additional cost associated with changes to the National Minimum Wage for those aged </w:t>
      </w:r>
      <w:proofErr w:type="gramStart"/>
      <w:r w:rsidR="00C475EC" w:rsidRPr="00250D35">
        <w:rPr>
          <w:rFonts w:ascii="Arial" w:hAnsi="Arial" w:cs="Arial"/>
          <w:szCs w:val="24"/>
        </w:rPr>
        <w:t>under</w:t>
      </w:r>
      <w:proofErr w:type="gramEnd"/>
      <w:r w:rsidR="00C475EC" w:rsidRPr="00250D35">
        <w:rPr>
          <w:rFonts w:ascii="Arial" w:hAnsi="Arial" w:cs="Arial"/>
          <w:szCs w:val="24"/>
        </w:rPr>
        <w:t xml:space="preserve"> 25, and the Living Wage Supplement for those aged 25 and over. These are then weighted to reflect the proportion of staff aged under and over 25.</w:t>
      </w:r>
    </w:p>
    <w:p w:rsidR="00314C20" w:rsidRDefault="00314C20" w:rsidP="00FC09FE">
      <w:pPr>
        <w:rPr>
          <w:rFonts w:ascii="Arial" w:hAnsi="Arial" w:cs="Arial"/>
          <w:sz w:val="24"/>
          <w:szCs w:val="24"/>
        </w:rPr>
      </w:pPr>
    </w:p>
    <w:tbl>
      <w:tblPr>
        <w:tblW w:w="8928" w:type="dxa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1276"/>
        <w:gridCol w:w="1273"/>
      </w:tblGrid>
      <w:tr w:rsidR="00FC09FE" w:rsidRPr="00932F18" w:rsidTr="00C01EBB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932F18" w:rsidRDefault="00FC09FE" w:rsidP="00C475EC">
            <w:pPr>
              <w:pStyle w:val="NoSpacing"/>
              <w:rPr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932F18" w:rsidRDefault="00FC09FE" w:rsidP="00C475EC">
            <w:pPr>
              <w:pStyle w:val="NoSpacing"/>
              <w:rPr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314C20" w:rsidRDefault="00FC09FE" w:rsidP="00C475EC">
            <w:pPr>
              <w:pStyle w:val="NoSpacing"/>
              <w:rPr>
                <w:b/>
                <w:lang w:eastAsia="en-GB"/>
              </w:rPr>
            </w:pPr>
            <w:r w:rsidRPr="00314C20">
              <w:rPr>
                <w:b/>
                <w:lang w:eastAsia="en-GB"/>
              </w:rPr>
              <w:t>Under 25's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314C20" w:rsidRDefault="00FC09FE" w:rsidP="00C475EC">
            <w:pPr>
              <w:pStyle w:val="NoSpacing"/>
              <w:rPr>
                <w:b/>
                <w:lang w:eastAsia="en-GB"/>
              </w:rPr>
            </w:pPr>
            <w:r w:rsidRPr="00314C20">
              <w:rPr>
                <w:b/>
                <w:lang w:eastAsia="en-GB"/>
              </w:rPr>
              <w:t>Aged 25 +</w:t>
            </w:r>
          </w:p>
        </w:tc>
      </w:tr>
      <w:tr w:rsidR="00FC09FE" w:rsidRPr="00932F18" w:rsidTr="00C01EBB">
        <w:trPr>
          <w:trHeight w:val="3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C475EC" w:rsidRDefault="00FC09FE" w:rsidP="00C475EC">
            <w:pPr>
              <w:pStyle w:val="NoSpacing"/>
              <w:rPr>
                <w:b/>
                <w:lang w:eastAsia="en-GB"/>
              </w:rPr>
            </w:pPr>
            <w:r w:rsidRPr="00C475EC">
              <w:rPr>
                <w:b/>
                <w:lang w:eastAsia="en-GB"/>
              </w:rPr>
              <w:t>Basic wage increase</w:t>
            </w:r>
          </w:p>
          <w:p w:rsidR="00C475EC" w:rsidRDefault="00C475EC" w:rsidP="00C475E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(Rising from £6.50 to £6.70 for those aged under 25; rising from £6.50 to £7.20 for those aged 25 and over)</w:t>
            </w:r>
          </w:p>
          <w:p w:rsidR="00C475EC" w:rsidRPr="00932F18" w:rsidRDefault="00C475EC" w:rsidP="00C475EC">
            <w:pPr>
              <w:pStyle w:val="NoSpacing"/>
              <w:rPr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932F18" w:rsidRDefault="00FC09FE" w:rsidP="00C475EC">
            <w:pPr>
              <w:pStyle w:val="NoSpacing"/>
              <w:rPr>
                <w:lang w:eastAsia="en-GB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4C20" w:rsidRDefault="00314C20" w:rsidP="00314C20">
            <w:pPr>
              <w:pStyle w:val="NoSpacing"/>
              <w:jc w:val="center"/>
              <w:rPr>
                <w:lang w:eastAsia="en-GB"/>
              </w:rPr>
            </w:pPr>
          </w:p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  <w:r w:rsidRPr="00932F18">
              <w:rPr>
                <w:lang w:eastAsia="en-GB"/>
              </w:rPr>
              <w:t>£0.20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4C20" w:rsidRDefault="00314C20" w:rsidP="00314C20">
            <w:pPr>
              <w:pStyle w:val="NoSpacing"/>
              <w:jc w:val="center"/>
              <w:rPr>
                <w:lang w:eastAsia="en-GB"/>
              </w:rPr>
            </w:pPr>
          </w:p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  <w:r w:rsidRPr="00932F18">
              <w:rPr>
                <w:lang w:eastAsia="en-GB"/>
              </w:rPr>
              <w:t>£0.70</w:t>
            </w:r>
          </w:p>
        </w:tc>
      </w:tr>
      <w:tr w:rsidR="00FC09FE" w:rsidRPr="00932F18" w:rsidTr="00C01EBB">
        <w:trPr>
          <w:trHeight w:val="3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C475EC" w:rsidRDefault="00FC09FE" w:rsidP="00C475EC">
            <w:pPr>
              <w:pStyle w:val="NoSpacing"/>
              <w:rPr>
                <w:b/>
                <w:lang w:eastAsia="en-GB"/>
              </w:rPr>
            </w:pPr>
            <w:r w:rsidRPr="00C475EC">
              <w:rPr>
                <w:b/>
                <w:lang w:eastAsia="en-GB"/>
              </w:rPr>
              <w:t>NI marginal rate</w:t>
            </w:r>
          </w:p>
          <w:p w:rsidR="00C475EC" w:rsidRDefault="00C475EC" w:rsidP="00C475E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(This is based on the marginal NI rate of 13.8% multiplied by 74%, being the proportion of staff working sufficient hours to reach the threshold for paying NI)</w:t>
            </w:r>
          </w:p>
          <w:p w:rsidR="00C475EC" w:rsidRPr="00932F18" w:rsidRDefault="00C475EC" w:rsidP="00C475EC">
            <w:pPr>
              <w:pStyle w:val="NoSpacing"/>
              <w:rPr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5EC" w:rsidRDefault="00C475EC" w:rsidP="00C475EC">
            <w:pPr>
              <w:pStyle w:val="NoSpacing"/>
              <w:rPr>
                <w:lang w:eastAsia="en-GB"/>
              </w:rPr>
            </w:pPr>
          </w:p>
          <w:p w:rsidR="00C475EC" w:rsidRDefault="00C475EC" w:rsidP="00C475EC">
            <w:pPr>
              <w:pStyle w:val="NoSpacing"/>
              <w:rPr>
                <w:lang w:eastAsia="en-GB"/>
              </w:rPr>
            </w:pPr>
          </w:p>
          <w:p w:rsidR="00FC09FE" w:rsidRPr="00932F18" w:rsidRDefault="00FC09FE" w:rsidP="00C475EC">
            <w:pPr>
              <w:pStyle w:val="NoSpacing"/>
              <w:jc w:val="center"/>
              <w:rPr>
                <w:lang w:eastAsia="en-GB"/>
              </w:rPr>
            </w:pPr>
            <w:r w:rsidRPr="00932F18">
              <w:rPr>
                <w:lang w:eastAsia="en-GB"/>
              </w:rPr>
              <w:t>10.2%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5EC" w:rsidRDefault="00C475EC" w:rsidP="00314C20">
            <w:pPr>
              <w:pStyle w:val="NoSpacing"/>
              <w:jc w:val="center"/>
              <w:rPr>
                <w:lang w:eastAsia="en-GB"/>
              </w:rPr>
            </w:pPr>
          </w:p>
          <w:p w:rsidR="00C475EC" w:rsidRDefault="00C475EC" w:rsidP="00314C20">
            <w:pPr>
              <w:pStyle w:val="NoSpacing"/>
              <w:jc w:val="center"/>
              <w:rPr>
                <w:lang w:eastAsia="en-GB"/>
              </w:rPr>
            </w:pPr>
          </w:p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  <w:r w:rsidRPr="00932F18">
              <w:rPr>
                <w:lang w:eastAsia="en-GB"/>
              </w:rPr>
              <w:t>£0.02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5EC" w:rsidRDefault="00C475EC" w:rsidP="00314C20">
            <w:pPr>
              <w:pStyle w:val="NoSpacing"/>
              <w:jc w:val="center"/>
              <w:rPr>
                <w:lang w:eastAsia="en-GB"/>
              </w:rPr>
            </w:pPr>
          </w:p>
          <w:p w:rsidR="00C475EC" w:rsidRDefault="00C475EC" w:rsidP="00314C20">
            <w:pPr>
              <w:pStyle w:val="NoSpacing"/>
              <w:jc w:val="center"/>
              <w:rPr>
                <w:lang w:eastAsia="en-GB"/>
              </w:rPr>
            </w:pPr>
          </w:p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  <w:r w:rsidRPr="00932F18">
              <w:rPr>
                <w:lang w:eastAsia="en-GB"/>
              </w:rPr>
              <w:t>£0.07</w:t>
            </w:r>
          </w:p>
        </w:tc>
      </w:tr>
      <w:tr w:rsidR="00FC09FE" w:rsidRPr="00932F18" w:rsidTr="00C01EBB">
        <w:trPr>
          <w:trHeight w:val="3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314C20" w:rsidRDefault="00C475EC" w:rsidP="00C475EC">
            <w:pPr>
              <w:pStyle w:val="NoSpacing"/>
              <w:rPr>
                <w:b/>
                <w:lang w:eastAsia="en-GB"/>
              </w:rPr>
            </w:pPr>
            <w:r w:rsidRPr="00314C20">
              <w:rPr>
                <w:b/>
                <w:lang w:eastAsia="en-GB"/>
              </w:rPr>
              <w:t>Pension rate</w:t>
            </w:r>
          </w:p>
          <w:p w:rsidR="00C475EC" w:rsidRDefault="00C475EC" w:rsidP="00C475E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(This is the auto-enrolment contribution rate)</w:t>
            </w:r>
          </w:p>
          <w:p w:rsidR="00C475EC" w:rsidRPr="00932F18" w:rsidRDefault="00C475EC" w:rsidP="00C475EC">
            <w:pPr>
              <w:pStyle w:val="NoSpacing"/>
              <w:rPr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4C20" w:rsidRDefault="00314C20" w:rsidP="00314C20">
            <w:pPr>
              <w:pStyle w:val="NoSpacing"/>
              <w:jc w:val="center"/>
              <w:rPr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0E951" wp14:editId="37839A06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64770</wp:posOffset>
                      </wp:positionV>
                      <wp:extent cx="130175" cy="1009650"/>
                      <wp:effectExtent l="0" t="0" r="22225" b="19050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0096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style="position:absolute;margin-left:62.85pt;margin-top:5.1pt;width:10.2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" adj="232" strokecolor="black [3213]"/>
                  </w:pict>
                </mc:Fallback>
              </mc:AlternateContent>
            </w:r>
          </w:p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  <w:r w:rsidRPr="00932F18">
              <w:rPr>
                <w:lang w:eastAsia="en-GB"/>
              </w:rPr>
              <w:t>1%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  <w:r w:rsidRPr="00932F18">
              <w:rPr>
                <w:lang w:eastAsia="en-GB"/>
              </w:rPr>
              <w:t>£0.00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  <w:r w:rsidRPr="00932F18">
              <w:rPr>
                <w:lang w:eastAsia="en-GB"/>
              </w:rPr>
              <w:t>£0.01</w:t>
            </w:r>
          </w:p>
        </w:tc>
      </w:tr>
      <w:tr w:rsidR="00FC09FE" w:rsidRPr="00932F18" w:rsidTr="00C01EBB">
        <w:trPr>
          <w:trHeight w:val="3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314C20" w:rsidRDefault="00FC09FE" w:rsidP="00C475EC">
            <w:pPr>
              <w:pStyle w:val="NoSpacing"/>
              <w:rPr>
                <w:b/>
                <w:lang w:eastAsia="en-GB"/>
              </w:rPr>
            </w:pPr>
            <w:r w:rsidRPr="00314C20">
              <w:rPr>
                <w:b/>
                <w:lang w:eastAsia="en-GB"/>
              </w:rPr>
              <w:t>Proportion of staff in receipt of pension</w:t>
            </w:r>
          </w:p>
          <w:p w:rsidR="00C475EC" w:rsidRPr="00932F18" w:rsidRDefault="00C475EC" w:rsidP="00C475E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(This is based on a drop-out rate of 15%, although noting that not all are eligible)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5EC" w:rsidRDefault="00C475EC" w:rsidP="00C475EC">
            <w:pPr>
              <w:pStyle w:val="NoSpacing"/>
              <w:rPr>
                <w:lang w:eastAsia="en-GB"/>
              </w:rPr>
            </w:pPr>
          </w:p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  <w:r w:rsidRPr="00932F18">
              <w:rPr>
                <w:lang w:eastAsia="en-GB"/>
              </w:rPr>
              <w:t>85%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FC09FE" w:rsidRPr="00932F18" w:rsidTr="00C01EBB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932F18" w:rsidRDefault="00FC09FE" w:rsidP="00C475EC">
            <w:pPr>
              <w:pStyle w:val="NoSpacing"/>
              <w:rPr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932F18" w:rsidRDefault="00FC09FE" w:rsidP="00C475EC">
            <w:pPr>
              <w:pStyle w:val="NoSpacing"/>
              <w:rPr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314C20" w:rsidRDefault="00FC09FE" w:rsidP="00314C20">
            <w:pPr>
              <w:pStyle w:val="NoSpacing"/>
              <w:jc w:val="center"/>
              <w:rPr>
                <w:b/>
                <w:lang w:eastAsia="en-GB"/>
              </w:rPr>
            </w:pPr>
            <w:r w:rsidRPr="00314C20">
              <w:rPr>
                <w:b/>
                <w:lang w:eastAsia="en-GB"/>
              </w:rPr>
              <w:t>£0.22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314C20" w:rsidRDefault="00FC09FE" w:rsidP="00314C20">
            <w:pPr>
              <w:pStyle w:val="NoSpacing"/>
              <w:jc w:val="center"/>
              <w:rPr>
                <w:b/>
                <w:lang w:eastAsia="en-GB"/>
              </w:rPr>
            </w:pPr>
            <w:r w:rsidRPr="00314C20">
              <w:rPr>
                <w:b/>
                <w:lang w:eastAsia="en-GB"/>
              </w:rPr>
              <w:t>£0.78</w:t>
            </w:r>
          </w:p>
        </w:tc>
      </w:tr>
      <w:tr w:rsidR="00FC09FE" w:rsidRPr="00932F18" w:rsidTr="00C01EBB">
        <w:trPr>
          <w:trHeight w:val="3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4C20" w:rsidRDefault="00314C20" w:rsidP="00C475EC">
            <w:pPr>
              <w:pStyle w:val="NoSpacing"/>
              <w:rPr>
                <w:b/>
                <w:lang w:eastAsia="en-GB"/>
              </w:rPr>
            </w:pPr>
          </w:p>
          <w:p w:rsidR="00C475EC" w:rsidRPr="00314C20" w:rsidRDefault="00314C20" w:rsidP="00C475EC">
            <w:pPr>
              <w:pStyle w:val="NoSpacing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Annual leave on-cost</w:t>
            </w:r>
          </w:p>
          <w:p w:rsidR="00C475EC" w:rsidRDefault="00C475EC" w:rsidP="00C475E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(Based on 28 days holiday)</w:t>
            </w:r>
          </w:p>
          <w:p w:rsidR="00C475EC" w:rsidRPr="00C475EC" w:rsidRDefault="00C475EC" w:rsidP="00C475EC">
            <w:pPr>
              <w:pStyle w:val="NoSpacing"/>
              <w:rPr>
                <w:vertAlign w:val="superscript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5EC" w:rsidRDefault="00C475EC" w:rsidP="00C475EC">
            <w:pPr>
              <w:pStyle w:val="NoSpacing"/>
              <w:rPr>
                <w:lang w:eastAsia="en-GB"/>
              </w:rPr>
            </w:pPr>
          </w:p>
          <w:p w:rsidR="00314C20" w:rsidRDefault="00314C20" w:rsidP="00C475EC">
            <w:pPr>
              <w:pStyle w:val="NoSpacing"/>
              <w:rPr>
                <w:lang w:eastAsia="en-GB"/>
              </w:rPr>
            </w:pPr>
          </w:p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  <w:r w:rsidRPr="00932F18">
              <w:rPr>
                <w:lang w:eastAsia="en-GB"/>
              </w:rPr>
              <w:t>12.1%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5EC" w:rsidRDefault="00C475EC" w:rsidP="00314C20">
            <w:pPr>
              <w:pStyle w:val="NoSpacing"/>
              <w:jc w:val="center"/>
              <w:rPr>
                <w:lang w:eastAsia="en-GB"/>
              </w:rPr>
            </w:pPr>
          </w:p>
          <w:p w:rsidR="00314C20" w:rsidRDefault="00314C20" w:rsidP="00314C20">
            <w:pPr>
              <w:pStyle w:val="NoSpacing"/>
              <w:jc w:val="center"/>
              <w:rPr>
                <w:lang w:eastAsia="en-GB"/>
              </w:rPr>
            </w:pPr>
          </w:p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  <w:r w:rsidRPr="00932F18">
              <w:rPr>
                <w:lang w:eastAsia="en-GB"/>
              </w:rPr>
              <w:t>£0.03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5EC" w:rsidRDefault="00C475EC" w:rsidP="00314C20">
            <w:pPr>
              <w:pStyle w:val="NoSpacing"/>
              <w:jc w:val="center"/>
              <w:rPr>
                <w:lang w:eastAsia="en-GB"/>
              </w:rPr>
            </w:pPr>
          </w:p>
          <w:p w:rsidR="00314C20" w:rsidRDefault="00314C20" w:rsidP="00314C20">
            <w:pPr>
              <w:pStyle w:val="NoSpacing"/>
              <w:jc w:val="center"/>
              <w:rPr>
                <w:lang w:eastAsia="en-GB"/>
              </w:rPr>
            </w:pPr>
          </w:p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  <w:r w:rsidRPr="00932F18">
              <w:rPr>
                <w:lang w:eastAsia="en-GB"/>
              </w:rPr>
              <w:t>£0.09</w:t>
            </w:r>
          </w:p>
        </w:tc>
      </w:tr>
      <w:tr w:rsidR="00FC09FE" w:rsidRPr="00932F18" w:rsidTr="00C01EBB">
        <w:trPr>
          <w:trHeight w:val="3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314C20" w:rsidRDefault="00314C20" w:rsidP="00C475EC">
            <w:pPr>
              <w:pStyle w:val="NoSpacing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Travel Time on-cost</w:t>
            </w:r>
          </w:p>
          <w:p w:rsidR="00C475EC" w:rsidRDefault="00C475EC" w:rsidP="00C475E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(Based on an average 7 minutes travel time)</w:t>
            </w:r>
          </w:p>
          <w:p w:rsidR="00C475EC" w:rsidRPr="00932F18" w:rsidRDefault="00C475EC" w:rsidP="00C475EC">
            <w:pPr>
              <w:pStyle w:val="NoSpacing"/>
              <w:rPr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5EC" w:rsidRDefault="00C475EC" w:rsidP="00C475EC">
            <w:pPr>
              <w:pStyle w:val="NoSpacing"/>
              <w:rPr>
                <w:lang w:eastAsia="en-GB"/>
              </w:rPr>
            </w:pPr>
          </w:p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  <w:r w:rsidRPr="00932F18">
              <w:rPr>
                <w:lang w:eastAsia="en-GB"/>
              </w:rPr>
              <w:t>11.7%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5EC" w:rsidRDefault="00C475EC" w:rsidP="00314C20">
            <w:pPr>
              <w:pStyle w:val="NoSpacing"/>
              <w:jc w:val="center"/>
              <w:rPr>
                <w:lang w:eastAsia="en-GB"/>
              </w:rPr>
            </w:pPr>
          </w:p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  <w:r w:rsidRPr="00932F18">
              <w:rPr>
                <w:lang w:eastAsia="en-GB"/>
              </w:rPr>
              <w:t>£0.03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5EC" w:rsidRDefault="00C475EC" w:rsidP="00314C20">
            <w:pPr>
              <w:pStyle w:val="NoSpacing"/>
              <w:jc w:val="center"/>
              <w:rPr>
                <w:lang w:eastAsia="en-GB"/>
              </w:rPr>
            </w:pPr>
          </w:p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  <w:r w:rsidRPr="00932F18">
              <w:rPr>
                <w:lang w:eastAsia="en-GB"/>
              </w:rPr>
              <w:t>£0.09</w:t>
            </w:r>
          </w:p>
        </w:tc>
      </w:tr>
      <w:tr w:rsidR="00FC09FE" w:rsidRPr="00932F18" w:rsidTr="00C01EBB">
        <w:trPr>
          <w:trHeight w:val="3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314C20" w:rsidRDefault="00FC09FE" w:rsidP="00C475EC">
            <w:pPr>
              <w:pStyle w:val="NoSpacing"/>
              <w:rPr>
                <w:b/>
                <w:lang w:eastAsia="en-GB"/>
              </w:rPr>
            </w:pPr>
            <w:r w:rsidRPr="00314C20">
              <w:rPr>
                <w:b/>
                <w:lang w:eastAsia="en-GB"/>
              </w:rPr>
              <w:t>Train</w:t>
            </w:r>
            <w:r w:rsidR="00314C20">
              <w:rPr>
                <w:b/>
                <w:lang w:eastAsia="en-GB"/>
              </w:rPr>
              <w:t>ing / Supervision Time on-cost</w:t>
            </w:r>
          </w:p>
          <w:p w:rsidR="00C475EC" w:rsidRPr="00932F18" w:rsidRDefault="00C475EC" w:rsidP="00C475E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(</w:t>
            </w:r>
            <w:r w:rsidR="00314C20">
              <w:rPr>
                <w:lang w:eastAsia="en-GB"/>
              </w:rPr>
              <w:t>Based on 4 days training and supervision time per year)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4C20" w:rsidRDefault="00314C20" w:rsidP="00314C20">
            <w:pPr>
              <w:pStyle w:val="NoSpacing"/>
              <w:jc w:val="center"/>
              <w:rPr>
                <w:lang w:eastAsia="en-GB"/>
              </w:rPr>
            </w:pPr>
          </w:p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  <w:r w:rsidRPr="00932F18">
              <w:rPr>
                <w:lang w:eastAsia="en-GB"/>
              </w:rPr>
              <w:t>1.7%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C20" w:rsidRDefault="00314C20" w:rsidP="00314C20">
            <w:pPr>
              <w:pStyle w:val="NoSpacing"/>
              <w:jc w:val="center"/>
              <w:rPr>
                <w:lang w:eastAsia="en-GB"/>
              </w:rPr>
            </w:pPr>
          </w:p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  <w:r w:rsidRPr="00932F18">
              <w:rPr>
                <w:lang w:eastAsia="en-GB"/>
              </w:rPr>
              <w:t>£0.00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4C20" w:rsidRDefault="00314C20" w:rsidP="00314C20">
            <w:pPr>
              <w:pStyle w:val="NoSpacing"/>
              <w:jc w:val="center"/>
              <w:rPr>
                <w:lang w:eastAsia="en-GB"/>
              </w:rPr>
            </w:pPr>
          </w:p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  <w:r w:rsidRPr="00932F18">
              <w:rPr>
                <w:lang w:eastAsia="en-GB"/>
              </w:rPr>
              <w:t>£0.01</w:t>
            </w:r>
          </w:p>
        </w:tc>
      </w:tr>
      <w:tr w:rsidR="00FC09FE" w:rsidRPr="00932F18" w:rsidTr="00C01EBB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932F18" w:rsidRDefault="00FC09FE" w:rsidP="00C475EC">
            <w:pPr>
              <w:pStyle w:val="NoSpacing"/>
              <w:rPr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932F18" w:rsidRDefault="00FC09FE" w:rsidP="00C475EC">
            <w:pPr>
              <w:pStyle w:val="NoSpacing"/>
              <w:rPr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09FE" w:rsidRPr="00314C20" w:rsidRDefault="00FC09FE" w:rsidP="00314C20">
            <w:pPr>
              <w:pStyle w:val="NoSpacing"/>
              <w:jc w:val="center"/>
              <w:rPr>
                <w:b/>
                <w:lang w:eastAsia="en-GB"/>
              </w:rPr>
            </w:pPr>
            <w:r w:rsidRPr="00314C20">
              <w:rPr>
                <w:b/>
                <w:lang w:eastAsia="en-GB"/>
              </w:rPr>
              <w:t>£0.28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09FE" w:rsidRPr="00314C20" w:rsidRDefault="00FC09FE" w:rsidP="00314C20">
            <w:pPr>
              <w:pStyle w:val="NoSpacing"/>
              <w:jc w:val="center"/>
              <w:rPr>
                <w:b/>
                <w:lang w:eastAsia="en-GB"/>
              </w:rPr>
            </w:pPr>
            <w:r w:rsidRPr="00314C20">
              <w:rPr>
                <w:b/>
                <w:lang w:eastAsia="en-GB"/>
              </w:rPr>
              <w:t>£0.98</w:t>
            </w:r>
          </w:p>
        </w:tc>
      </w:tr>
      <w:tr w:rsidR="00FC09FE" w:rsidRPr="00932F18" w:rsidTr="00C01EBB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932F18" w:rsidRDefault="00FC09FE" w:rsidP="00C475EC">
            <w:pPr>
              <w:pStyle w:val="NoSpacing"/>
              <w:rPr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932F18" w:rsidRDefault="00FC09FE" w:rsidP="00C475EC">
            <w:pPr>
              <w:pStyle w:val="NoSpacing"/>
              <w:rPr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FC09FE" w:rsidRPr="00932F18" w:rsidTr="00C01EBB">
        <w:trPr>
          <w:trHeight w:val="3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314C20" w:rsidRDefault="00FC09FE" w:rsidP="00C475EC">
            <w:pPr>
              <w:pStyle w:val="NoSpacing"/>
              <w:rPr>
                <w:b/>
                <w:lang w:eastAsia="en-GB"/>
              </w:rPr>
            </w:pPr>
            <w:r w:rsidRPr="00314C20">
              <w:rPr>
                <w:b/>
                <w:lang w:eastAsia="en-GB"/>
              </w:rPr>
              <w:t>Proportion of Staff in each age group</w:t>
            </w:r>
          </w:p>
          <w:p w:rsidR="00314C20" w:rsidRPr="00932F18" w:rsidRDefault="00314C20" w:rsidP="00C475E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(Based on data submitted as part of a previous procurement exercise)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932F18" w:rsidRDefault="00FC09FE" w:rsidP="00C475EC">
            <w:pPr>
              <w:pStyle w:val="NoSpacing"/>
              <w:rPr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4C20" w:rsidRDefault="00314C20" w:rsidP="00314C20">
            <w:pPr>
              <w:pStyle w:val="NoSpacing"/>
              <w:jc w:val="center"/>
              <w:rPr>
                <w:lang w:eastAsia="en-GB"/>
              </w:rPr>
            </w:pPr>
          </w:p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  <w:r w:rsidRPr="00932F18">
              <w:rPr>
                <w:lang w:eastAsia="en-GB"/>
              </w:rPr>
              <w:t>13.7%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4C20" w:rsidRDefault="00314C20" w:rsidP="00314C20">
            <w:pPr>
              <w:pStyle w:val="NoSpacing"/>
              <w:jc w:val="center"/>
              <w:rPr>
                <w:lang w:eastAsia="en-GB"/>
              </w:rPr>
            </w:pPr>
          </w:p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  <w:r w:rsidRPr="00932F18">
              <w:rPr>
                <w:lang w:eastAsia="en-GB"/>
              </w:rPr>
              <w:t>86.3%</w:t>
            </w:r>
          </w:p>
        </w:tc>
      </w:tr>
      <w:tr w:rsidR="00FC09FE" w:rsidRPr="00932F18" w:rsidTr="00C01EBB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932F18" w:rsidRDefault="00FC09FE" w:rsidP="00C475EC">
            <w:pPr>
              <w:pStyle w:val="NoSpacing"/>
              <w:rPr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932F18" w:rsidRDefault="00FC09FE" w:rsidP="00C475EC">
            <w:pPr>
              <w:pStyle w:val="NoSpacing"/>
              <w:rPr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932F18" w:rsidRDefault="00FC09FE" w:rsidP="00314C20">
            <w:pPr>
              <w:pStyle w:val="NoSpacing"/>
              <w:jc w:val="center"/>
              <w:rPr>
                <w:lang w:eastAsia="en-GB"/>
              </w:rPr>
            </w:pPr>
          </w:p>
        </w:tc>
      </w:tr>
      <w:tr w:rsidR="00FC09FE" w:rsidRPr="00932F18" w:rsidTr="00C01EBB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314C20" w:rsidRDefault="00FC09FE" w:rsidP="00C475EC">
            <w:pPr>
              <w:pStyle w:val="NoSpacing"/>
              <w:rPr>
                <w:b/>
                <w:lang w:eastAsia="en-GB"/>
              </w:rPr>
            </w:pPr>
            <w:r w:rsidRPr="00314C20">
              <w:rPr>
                <w:b/>
                <w:lang w:eastAsia="en-GB"/>
              </w:rPr>
              <w:t>Weighted Increase to Hourly Rate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9FE" w:rsidRPr="00932F18" w:rsidRDefault="00FC09FE" w:rsidP="00C475EC">
            <w:pPr>
              <w:pStyle w:val="NoSpacing"/>
              <w:rPr>
                <w:lang w:eastAsia="en-GB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9FE" w:rsidRPr="00314C20" w:rsidRDefault="00FC09FE" w:rsidP="00314C20">
            <w:pPr>
              <w:pStyle w:val="NoSpacing"/>
              <w:jc w:val="center"/>
              <w:rPr>
                <w:b/>
                <w:lang w:eastAsia="en-GB"/>
              </w:rPr>
            </w:pPr>
            <w:r w:rsidRPr="00314C20">
              <w:rPr>
                <w:b/>
                <w:lang w:eastAsia="en-GB"/>
              </w:rPr>
              <w:t>£0.88</w:t>
            </w:r>
          </w:p>
        </w:tc>
      </w:tr>
    </w:tbl>
    <w:p w:rsidR="00FC09FE" w:rsidRPr="00FC09FE" w:rsidRDefault="00FC09FE" w:rsidP="00314C20">
      <w:pPr>
        <w:rPr>
          <w:rFonts w:ascii="Arial" w:hAnsi="Arial" w:cs="Arial"/>
          <w:sz w:val="24"/>
          <w:szCs w:val="24"/>
        </w:rPr>
      </w:pPr>
    </w:p>
    <w:sectPr w:rsidR="00FC09FE" w:rsidRPr="00FC09FE" w:rsidSect="00270DC2">
      <w:headerReference w:type="first" r:id="rId8"/>
      <w:pgSz w:w="11906" w:h="16838"/>
      <w:pgMar w:top="1135" w:right="1440" w:bottom="56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35" w:rsidRDefault="00250D35" w:rsidP="00250D35">
      <w:pPr>
        <w:spacing w:after="0" w:line="240" w:lineRule="auto"/>
      </w:pPr>
      <w:r>
        <w:separator/>
      </w:r>
    </w:p>
  </w:endnote>
  <w:endnote w:type="continuationSeparator" w:id="0">
    <w:p w:rsidR="00250D35" w:rsidRDefault="00250D35" w:rsidP="0025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35" w:rsidRDefault="00250D35" w:rsidP="00250D35">
      <w:pPr>
        <w:spacing w:after="0" w:line="240" w:lineRule="auto"/>
      </w:pPr>
      <w:r>
        <w:separator/>
      </w:r>
    </w:p>
  </w:footnote>
  <w:footnote w:type="continuationSeparator" w:id="0">
    <w:p w:rsidR="00250D35" w:rsidRDefault="00250D35" w:rsidP="0025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35" w:rsidRDefault="00250D35" w:rsidP="00250D35">
    <w:pPr>
      <w:pStyle w:val="Header"/>
    </w:pPr>
  </w:p>
  <w:p w:rsidR="00250D35" w:rsidRDefault="00250D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CBA"/>
    <w:multiLevelType w:val="hybridMultilevel"/>
    <w:tmpl w:val="9DE83B84"/>
    <w:lvl w:ilvl="0" w:tplc="11E02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C1"/>
    <w:rsid w:val="00187121"/>
    <w:rsid w:val="00250D35"/>
    <w:rsid w:val="00270DC2"/>
    <w:rsid w:val="002C4DC1"/>
    <w:rsid w:val="0031158A"/>
    <w:rsid w:val="00314C20"/>
    <w:rsid w:val="00343D31"/>
    <w:rsid w:val="003B5718"/>
    <w:rsid w:val="00584B21"/>
    <w:rsid w:val="006617CE"/>
    <w:rsid w:val="0073784E"/>
    <w:rsid w:val="008B5868"/>
    <w:rsid w:val="008E4A97"/>
    <w:rsid w:val="00924052"/>
    <w:rsid w:val="009D5B3E"/>
    <w:rsid w:val="00A315A2"/>
    <w:rsid w:val="00A333BE"/>
    <w:rsid w:val="00AD79DC"/>
    <w:rsid w:val="00B70F16"/>
    <w:rsid w:val="00BF575D"/>
    <w:rsid w:val="00C475EC"/>
    <w:rsid w:val="00C725BD"/>
    <w:rsid w:val="00D81EF0"/>
    <w:rsid w:val="00DC606F"/>
    <w:rsid w:val="00E21D0E"/>
    <w:rsid w:val="00ED4E6B"/>
    <w:rsid w:val="00F60662"/>
    <w:rsid w:val="00FC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5D"/>
    <w:pPr>
      <w:ind w:left="720"/>
      <w:contextualSpacing/>
    </w:pPr>
  </w:style>
  <w:style w:type="paragraph" w:styleId="NoSpacing">
    <w:name w:val="No Spacing"/>
    <w:uiPriority w:val="1"/>
    <w:qFormat/>
    <w:rsid w:val="00FC09F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50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0D35"/>
  </w:style>
  <w:style w:type="paragraph" w:styleId="Footer">
    <w:name w:val="footer"/>
    <w:basedOn w:val="Normal"/>
    <w:link w:val="FooterChar"/>
    <w:unhideWhenUsed/>
    <w:rsid w:val="00250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0D35"/>
  </w:style>
  <w:style w:type="paragraph" w:styleId="BalloonText">
    <w:name w:val="Balloon Text"/>
    <w:basedOn w:val="Normal"/>
    <w:link w:val="BalloonTextChar"/>
    <w:uiPriority w:val="99"/>
    <w:semiHidden/>
    <w:unhideWhenUsed/>
    <w:rsid w:val="0027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5D"/>
    <w:pPr>
      <w:ind w:left="720"/>
      <w:contextualSpacing/>
    </w:pPr>
  </w:style>
  <w:style w:type="paragraph" w:styleId="NoSpacing">
    <w:name w:val="No Spacing"/>
    <w:uiPriority w:val="1"/>
    <w:qFormat/>
    <w:rsid w:val="00FC09F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50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0D35"/>
  </w:style>
  <w:style w:type="paragraph" w:styleId="Footer">
    <w:name w:val="footer"/>
    <w:basedOn w:val="Normal"/>
    <w:link w:val="FooterChar"/>
    <w:unhideWhenUsed/>
    <w:rsid w:val="00250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0D35"/>
  </w:style>
  <w:style w:type="paragraph" w:styleId="BalloonText">
    <w:name w:val="Balloon Text"/>
    <w:basedOn w:val="Normal"/>
    <w:link w:val="BalloonTextChar"/>
    <w:uiPriority w:val="99"/>
    <w:semiHidden/>
    <w:unhideWhenUsed/>
    <w:rsid w:val="0027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McAvoy</dc:creator>
  <cp:lastModifiedBy>Pravina Chandarana</cp:lastModifiedBy>
  <cp:revision>2</cp:revision>
  <cp:lastPrinted>2016-01-28T16:27:00Z</cp:lastPrinted>
  <dcterms:created xsi:type="dcterms:W3CDTF">2016-05-23T10:23:00Z</dcterms:created>
  <dcterms:modified xsi:type="dcterms:W3CDTF">2016-05-23T10:23:00Z</dcterms:modified>
</cp:coreProperties>
</file>