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6C" w:rsidRDefault="00904484" w:rsidP="00F129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4356C" w:rsidRPr="0014356C">
        <w:rPr>
          <w:rFonts w:ascii="Arial" w:hAnsi="Arial" w:cs="Arial"/>
          <w:b/>
          <w:sz w:val="24"/>
          <w:szCs w:val="24"/>
        </w:rPr>
        <w:t xml:space="preserve">FOIA 15040 Request for Information </w:t>
      </w:r>
      <w:r w:rsidR="00764967">
        <w:rPr>
          <w:rFonts w:ascii="Arial" w:hAnsi="Arial" w:cs="Arial"/>
          <w:b/>
          <w:sz w:val="24"/>
          <w:szCs w:val="24"/>
        </w:rPr>
        <w:t>–</w:t>
      </w:r>
      <w:r w:rsidR="0014356C" w:rsidRPr="0014356C">
        <w:rPr>
          <w:rFonts w:ascii="Arial" w:hAnsi="Arial" w:cs="Arial"/>
          <w:b/>
          <w:sz w:val="24"/>
          <w:szCs w:val="24"/>
        </w:rPr>
        <w:t xml:space="preserve"> Env</w:t>
      </w:r>
      <w:r w:rsidR="00764967">
        <w:rPr>
          <w:rFonts w:ascii="Arial" w:hAnsi="Arial" w:cs="Arial"/>
          <w:b/>
          <w:sz w:val="24"/>
          <w:szCs w:val="24"/>
        </w:rPr>
        <w:t xml:space="preserve">ironment </w:t>
      </w:r>
      <w:r w:rsidR="009B2A95">
        <w:rPr>
          <w:rFonts w:ascii="Arial" w:hAnsi="Arial" w:cs="Arial"/>
          <w:b/>
          <w:sz w:val="24"/>
          <w:szCs w:val="24"/>
        </w:rPr>
        <w:t>Team supporting document</w:t>
      </w:r>
    </w:p>
    <w:p w:rsidR="00205DEF" w:rsidRDefault="00205DEF" w:rsidP="00764967">
      <w:pPr>
        <w:spacing w:after="0"/>
        <w:rPr>
          <w:rFonts w:ascii="Arial" w:hAnsi="Arial" w:cs="Arial"/>
          <w:sz w:val="24"/>
          <w:szCs w:val="24"/>
        </w:rPr>
      </w:pPr>
    </w:p>
    <w:p w:rsidR="006E1936" w:rsidRDefault="006E1936" w:rsidP="00764967">
      <w:pPr>
        <w:spacing w:after="0"/>
        <w:rPr>
          <w:rFonts w:ascii="Arial" w:hAnsi="Arial" w:cs="Arial"/>
          <w:sz w:val="24"/>
          <w:szCs w:val="24"/>
        </w:rPr>
      </w:pPr>
    </w:p>
    <w:p w:rsidR="00F12980" w:rsidRDefault="00F12980" w:rsidP="00764967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Paper usage.</w:t>
      </w:r>
    </w:p>
    <w:p w:rsidR="00F12980" w:rsidRDefault="00F12980" w:rsidP="00764967">
      <w:pPr>
        <w:spacing w:after="0"/>
        <w:rPr>
          <w:rFonts w:ascii="Arial" w:hAnsi="Arial" w:cs="Arial"/>
          <w:sz w:val="24"/>
          <w:szCs w:val="24"/>
        </w:rPr>
      </w:pPr>
    </w:p>
    <w:p w:rsidR="00C22296" w:rsidRDefault="00C22296" w:rsidP="007649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D07A9">
        <w:rPr>
          <w:rFonts w:ascii="Arial" w:hAnsi="Arial" w:cs="Arial"/>
          <w:sz w:val="24"/>
          <w:szCs w:val="24"/>
        </w:rPr>
        <w:t xml:space="preserve">he table below </w:t>
      </w:r>
      <w:r>
        <w:rPr>
          <w:rFonts w:ascii="Arial" w:hAnsi="Arial" w:cs="Arial"/>
          <w:sz w:val="24"/>
          <w:szCs w:val="24"/>
        </w:rPr>
        <w:t xml:space="preserve">presents council paper use </w:t>
      </w:r>
      <w:r w:rsidR="00B23FF3">
        <w:rPr>
          <w:rFonts w:ascii="Arial" w:hAnsi="Arial" w:cs="Arial"/>
          <w:sz w:val="24"/>
          <w:szCs w:val="24"/>
        </w:rPr>
        <w:t>ea</w:t>
      </w:r>
      <w:r w:rsidR="008D07A9">
        <w:rPr>
          <w:rFonts w:ascii="Arial" w:hAnsi="Arial" w:cs="Arial"/>
          <w:sz w:val="24"/>
          <w:szCs w:val="24"/>
        </w:rPr>
        <w:t>ch year</w:t>
      </w:r>
      <w:r>
        <w:rPr>
          <w:rFonts w:ascii="Arial" w:hAnsi="Arial" w:cs="Arial"/>
          <w:sz w:val="24"/>
          <w:szCs w:val="24"/>
        </w:rPr>
        <w:t xml:space="preserve"> up to 2014/15 expressed as A4 sheets equivalent</w:t>
      </w:r>
      <w:r w:rsidR="000D6F79">
        <w:rPr>
          <w:rFonts w:ascii="Arial" w:hAnsi="Arial" w:cs="Arial"/>
          <w:sz w:val="24"/>
          <w:szCs w:val="24"/>
        </w:rPr>
        <w:t>.</w:t>
      </w:r>
    </w:p>
    <w:p w:rsidR="000D6F79" w:rsidRPr="00764967" w:rsidRDefault="000D6F79" w:rsidP="0076496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15"/>
        <w:gridCol w:w="1215"/>
        <w:gridCol w:w="1215"/>
        <w:gridCol w:w="1215"/>
        <w:gridCol w:w="1215"/>
        <w:gridCol w:w="1216"/>
      </w:tblGrid>
      <w:tr w:rsidR="00B23FF3" w:rsidTr="00B81589">
        <w:trPr>
          <w:cantSplit/>
          <w:trHeight w:val="410"/>
        </w:trPr>
        <w:tc>
          <w:tcPr>
            <w:tcW w:w="1951" w:type="dxa"/>
          </w:tcPr>
          <w:p w:rsidR="00B23FF3" w:rsidRPr="00C03B3D" w:rsidRDefault="00B23FF3" w:rsidP="00B81589">
            <w:pPr>
              <w:pStyle w:val="StatementNormal"/>
              <w:tabs>
                <w:tab w:val="left" w:pos="2076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:rsidR="00B23FF3" w:rsidRPr="00C03B3D" w:rsidRDefault="00B23FF3" w:rsidP="00B81589">
            <w:pPr>
              <w:pStyle w:val="StatementNormal"/>
              <w:tabs>
                <w:tab w:val="left" w:pos="2076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2009/10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B23FF3" w:rsidRPr="00C03B3D" w:rsidRDefault="00B23FF3" w:rsidP="00B81589">
            <w:pPr>
              <w:pStyle w:val="StatementNormal"/>
              <w:tabs>
                <w:tab w:val="left" w:pos="2076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2010/11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F3" w:rsidRPr="00C03B3D" w:rsidRDefault="00B23FF3" w:rsidP="00B81589">
            <w:pPr>
              <w:pStyle w:val="StatementNormal"/>
              <w:tabs>
                <w:tab w:val="left" w:pos="2076"/>
              </w:tabs>
              <w:jc w:val="center"/>
              <w:rPr>
                <w:rFonts w:cs="Arial"/>
                <w:sz w:val="22"/>
                <w:szCs w:val="22"/>
              </w:rPr>
            </w:pPr>
            <w:r w:rsidRPr="00C03B3D">
              <w:rPr>
                <w:rFonts w:cs="Arial"/>
                <w:sz w:val="22"/>
                <w:szCs w:val="22"/>
              </w:rPr>
              <w:t>2011/12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B23FF3" w:rsidRPr="00C03B3D" w:rsidRDefault="00B23FF3" w:rsidP="00B81589">
            <w:pPr>
              <w:pStyle w:val="StatementNormal"/>
              <w:tabs>
                <w:tab w:val="left" w:pos="2076"/>
              </w:tabs>
              <w:jc w:val="center"/>
              <w:rPr>
                <w:rFonts w:cs="Arial"/>
                <w:sz w:val="22"/>
                <w:szCs w:val="22"/>
              </w:rPr>
            </w:pPr>
            <w:r w:rsidRPr="00C03B3D">
              <w:rPr>
                <w:rFonts w:cs="Arial"/>
                <w:sz w:val="22"/>
                <w:szCs w:val="22"/>
              </w:rPr>
              <w:t>2012/13</w:t>
            </w:r>
          </w:p>
        </w:tc>
        <w:tc>
          <w:tcPr>
            <w:tcW w:w="1215" w:type="dxa"/>
            <w:vAlign w:val="center"/>
          </w:tcPr>
          <w:p w:rsidR="00B23FF3" w:rsidRPr="00C03B3D" w:rsidRDefault="00B23FF3" w:rsidP="00B81589">
            <w:pPr>
              <w:pStyle w:val="StatementNormal"/>
              <w:tabs>
                <w:tab w:val="left" w:pos="2076"/>
              </w:tabs>
              <w:jc w:val="center"/>
              <w:rPr>
                <w:rFonts w:cs="Arial"/>
                <w:sz w:val="22"/>
                <w:szCs w:val="22"/>
              </w:rPr>
            </w:pPr>
            <w:r w:rsidRPr="00C03B3D">
              <w:rPr>
                <w:rFonts w:cs="Arial"/>
                <w:sz w:val="22"/>
                <w:szCs w:val="22"/>
              </w:rPr>
              <w:t>2013/14</w:t>
            </w:r>
          </w:p>
        </w:tc>
        <w:tc>
          <w:tcPr>
            <w:tcW w:w="1216" w:type="dxa"/>
            <w:vAlign w:val="center"/>
          </w:tcPr>
          <w:p w:rsidR="00B23FF3" w:rsidRPr="00C03B3D" w:rsidRDefault="00B23FF3" w:rsidP="00B81589">
            <w:pPr>
              <w:pStyle w:val="StatementNormal"/>
              <w:tabs>
                <w:tab w:val="left" w:pos="2076"/>
              </w:tabs>
              <w:jc w:val="center"/>
              <w:rPr>
                <w:rFonts w:cs="Arial"/>
                <w:sz w:val="22"/>
                <w:szCs w:val="22"/>
              </w:rPr>
            </w:pPr>
            <w:r w:rsidRPr="00C03B3D">
              <w:rPr>
                <w:rFonts w:cs="Arial"/>
                <w:sz w:val="22"/>
                <w:szCs w:val="22"/>
              </w:rPr>
              <w:t>2014/15</w:t>
            </w:r>
          </w:p>
        </w:tc>
      </w:tr>
      <w:tr w:rsidR="00B23FF3" w:rsidTr="00B81589">
        <w:trPr>
          <w:cantSplit/>
          <w:trHeight w:val="479"/>
        </w:trPr>
        <w:tc>
          <w:tcPr>
            <w:tcW w:w="1951" w:type="dxa"/>
            <w:vAlign w:val="center"/>
          </w:tcPr>
          <w:p w:rsidR="00B23FF3" w:rsidRPr="00DC0958" w:rsidRDefault="009E14CA" w:rsidP="00764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paper u</w:t>
            </w:r>
            <w:r w:rsidR="00B23FF3">
              <w:rPr>
                <w:rFonts w:ascii="Arial" w:hAnsi="Arial" w:cs="Arial"/>
                <w:sz w:val="20"/>
                <w:szCs w:val="20"/>
              </w:rPr>
              <w:t xml:space="preserve">sed in </w:t>
            </w:r>
            <w:r w:rsidR="00B23FF3" w:rsidRPr="00DC0958">
              <w:rPr>
                <w:rFonts w:ascii="Arial" w:hAnsi="Arial" w:cs="Arial"/>
                <w:sz w:val="20"/>
                <w:szCs w:val="20"/>
              </w:rPr>
              <w:t>A4 sheets-equivalent</w:t>
            </w:r>
            <w:r w:rsidR="00B23FF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B23FF3" w:rsidRPr="00E5391A" w:rsidRDefault="00B23FF3" w:rsidP="00764967">
            <w:pPr>
              <w:pStyle w:val="StatementNormal"/>
              <w:tabs>
                <w:tab w:val="left" w:pos="2076"/>
              </w:tabs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67,890,222</w:t>
            </w:r>
          </w:p>
        </w:tc>
        <w:tc>
          <w:tcPr>
            <w:tcW w:w="1215" w:type="dxa"/>
            <w:vAlign w:val="center"/>
          </w:tcPr>
          <w:p w:rsidR="00B23FF3" w:rsidRPr="00E5391A" w:rsidRDefault="00B23FF3" w:rsidP="00764967">
            <w:pPr>
              <w:pStyle w:val="StatementNormal"/>
              <w:tabs>
                <w:tab w:val="left" w:pos="2076"/>
              </w:tabs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71,197,008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B23FF3" w:rsidRPr="00E5391A" w:rsidRDefault="00B23FF3" w:rsidP="00764967">
            <w:pPr>
              <w:pStyle w:val="StatementNormal"/>
              <w:tabs>
                <w:tab w:val="left" w:pos="2076"/>
              </w:tabs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E5391A">
              <w:rPr>
                <w:rFonts w:cs="Arial"/>
                <w:sz w:val="18"/>
                <w:szCs w:val="18"/>
              </w:rPr>
              <w:t xml:space="preserve">54,669,170 </w:t>
            </w:r>
          </w:p>
        </w:tc>
        <w:tc>
          <w:tcPr>
            <w:tcW w:w="1215" w:type="dxa"/>
            <w:vAlign w:val="center"/>
          </w:tcPr>
          <w:p w:rsidR="00B23FF3" w:rsidRPr="00E5391A" w:rsidRDefault="00B23FF3" w:rsidP="00764967">
            <w:pPr>
              <w:pStyle w:val="StatementNormal"/>
              <w:tabs>
                <w:tab w:val="left" w:pos="2076"/>
              </w:tabs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E5391A">
              <w:rPr>
                <w:rFonts w:cs="Arial"/>
                <w:sz w:val="18"/>
                <w:szCs w:val="18"/>
              </w:rPr>
              <w:t xml:space="preserve">42,618,171 </w:t>
            </w:r>
          </w:p>
        </w:tc>
        <w:tc>
          <w:tcPr>
            <w:tcW w:w="1215" w:type="dxa"/>
            <w:vAlign w:val="center"/>
          </w:tcPr>
          <w:p w:rsidR="00B23FF3" w:rsidRPr="00E5391A" w:rsidRDefault="00B23FF3" w:rsidP="00764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91A">
              <w:rPr>
                <w:rFonts w:ascii="Arial" w:hAnsi="Arial" w:cs="Arial"/>
                <w:sz w:val="18"/>
                <w:szCs w:val="18"/>
              </w:rPr>
              <w:t xml:space="preserve">52,890,563 </w:t>
            </w:r>
          </w:p>
        </w:tc>
        <w:tc>
          <w:tcPr>
            <w:tcW w:w="1216" w:type="dxa"/>
            <w:vAlign w:val="center"/>
          </w:tcPr>
          <w:p w:rsidR="00B23FF3" w:rsidRPr="00E5391A" w:rsidRDefault="00B23FF3" w:rsidP="00764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49,105,354</w:t>
            </w:r>
          </w:p>
        </w:tc>
      </w:tr>
    </w:tbl>
    <w:p w:rsidR="00B23FF3" w:rsidRPr="00131235" w:rsidRDefault="008D07A9" w:rsidP="007649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B23FF3">
        <w:rPr>
          <w:rFonts w:ascii="Arial" w:hAnsi="Arial" w:cs="Arial"/>
          <w:sz w:val="20"/>
          <w:szCs w:val="20"/>
        </w:rPr>
        <w:t>S</w:t>
      </w:r>
      <w:r w:rsidR="00B23FF3" w:rsidRPr="00131235">
        <w:rPr>
          <w:rFonts w:ascii="Arial" w:hAnsi="Arial" w:cs="Arial"/>
          <w:sz w:val="20"/>
          <w:szCs w:val="20"/>
        </w:rPr>
        <w:t>chools</w:t>
      </w:r>
      <w:r w:rsidR="00B23FF3">
        <w:rPr>
          <w:rFonts w:ascii="Arial" w:hAnsi="Arial" w:cs="Arial"/>
          <w:sz w:val="20"/>
          <w:szCs w:val="20"/>
        </w:rPr>
        <w:t xml:space="preserve"> are not included because the infor</w:t>
      </w:r>
      <w:r>
        <w:rPr>
          <w:rFonts w:ascii="Arial" w:hAnsi="Arial" w:cs="Arial"/>
          <w:sz w:val="20"/>
          <w:szCs w:val="20"/>
        </w:rPr>
        <w:t>mation is not available</w:t>
      </w:r>
      <w:r w:rsidR="00B23FF3" w:rsidRPr="00131235">
        <w:rPr>
          <w:rFonts w:ascii="Arial" w:hAnsi="Arial" w:cs="Arial"/>
          <w:sz w:val="20"/>
          <w:szCs w:val="20"/>
        </w:rPr>
        <w:t>.</w:t>
      </w:r>
    </w:p>
    <w:p w:rsidR="000D6F79" w:rsidRDefault="000D6F79" w:rsidP="000D6F79">
      <w:pPr>
        <w:spacing w:after="0"/>
        <w:rPr>
          <w:rFonts w:ascii="Arial" w:hAnsi="Arial" w:cs="Arial"/>
          <w:sz w:val="24"/>
          <w:szCs w:val="24"/>
        </w:rPr>
      </w:pPr>
    </w:p>
    <w:p w:rsidR="000D6F79" w:rsidRDefault="000D6F79" w:rsidP="000D6F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chart below illustrates the total amount used each year according to type of use.</w:t>
      </w:r>
    </w:p>
    <w:p w:rsidR="00D031D4" w:rsidRDefault="00D031D4" w:rsidP="00764967">
      <w:pPr>
        <w:spacing w:after="0"/>
        <w:rPr>
          <w:rFonts w:ascii="Arial" w:hAnsi="Arial" w:cs="Arial"/>
          <w:sz w:val="24"/>
          <w:szCs w:val="24"/>
        </w:rPr>
      </w:pPr>
    </w:p>
    <w:p w:rsidR="00B23FF3" w:rsidRDefault="00B23FF3" w:rsidP="0076496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4FD2F3B" wp14:editId="4009B271">
            <wp:extent cx="5505450" cy="3152775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2296" w:rsidRDefault="00C22296" w:rsidP="00C222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108C5">
        <w:rPr>
          <w:rFonts w:ascii="Arial" w:hAnsi="Arial" w:cs="Arial"/>
          <w:sz w:val="24"/>
          <w:szCs w:val="24"/>
        </w:rPr>
        <w:t>aper use</w:t>
      </w:r>
      <w:r>
        <w:rPr>
          <w:rFonts w:ascii="Arial" w:hAnsi="Arial" w:cs="Arial"/>
          <w:sz w:val="24"/>
          <w:szCs w:val="24"/>
        </w:rPr>
        <w:t xml:space="preserve"> by the council fluctuated over the 6 year period but was down overall</w:t>
      </w:r>
      <w:r w:rsidRPr="007108C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The main reduction was the amount of newsprint used. This was because fewer editions of the Council’s free magazine “Link” were published each year.</w:t>
      </w:r>
      <w:r w:rsidR="006F2F93">
        <w:rPr>
          <w:rFonts w:ascii="Arial" w:hAnsi="Arial" w:cs="Arial"/>
          <w:sz w:val="24"/>
          <w:szCs w:val="24"/>
        </w:rPr>
        <w:t xml:space="preserve"> The Council has since stopped publishing “Link” entirely. </w:t>
      </w:r>
      <w:r w:rsidRPr="007108C5">
        <w:rPr>
          <w:rFonts w:ascii="Arial" w:hAnsi="Arial" w:cs="Arial"/>
          <w:sz w:val="24"/>
          <w:szCs w:val="24"/>
        </w:rPr>
        <w:t xml:space="preserve"> </w:t>
      </w:r>
    </w:p>
    <w:p w:rsidR="00B23FF3" w:rsidRDefault="00B23FF3" w:rsidP="00764967">
      <w:pPr>
        <w:spacing w:after="0"/>
        <w:rPr>
          <w:rFonts w:ascii="Arial" w:hAnsi="Arial" w:cs="Arial"/>
          <w:sz w:val="24"/>
          <w:szCs w:val="24"/>
        </w:rPr>
      </w:pPr>
    </w:p>
    <w:p w:rsidR="000D6F79" w:rsidRPr="00C03B3D" w:rsidRDefault="000D6F79" w:rsidP="000D6F7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 Carbon Footprint</w:t>
      </w:r>
    </w:p>
    <w:p w:rsidR="00904484" w:rsidRDefault="00904484" w:rsidP="00904484">
      <w:pPr>
        <w:spacing w:after="0"/>
        <w:rPr>
          <w:rFonts w:ascii="Arial" w:hAnsi="Arial" w:cs="Arial"/>
          <w:sz w:val="24"/>
          <w:szCs w:val="24"/>
        </w:rPr>
      </w:pPr>
    </w:p>
    <w:p w:rsidR="00904484" w:rsidRPr="00904484" w:rsidRDefault="000D6F79" w:rsidP="009044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has a target to halve its own carbon footprint from the </w:t>
      </w:r>
      <w:r w:rsidR="00904484" w:rsidRPr="00904484">
        <w:rPr>
          <w:rFonts w:ascii="Arial" w:hAnsi="Arial" w:cs="Arial"/>
          <w:sz w:val="24"/>
          <w:szCs w:val="24"/>
        </w:rPr>
        <w:t>2008</w:t>
      </w:r>
      <w:r>
        <w:rPr>
          <w:rFonts w:ascii="Arial" w:hAnsi="Arial" w:cs="Arial"/>
          <w:sz w:val="24"/>
          <w:szCs w:val="24"/>
        </w:rPr>
        <w:t xml:space="preserve">/09 level by 2025.  As the graph </w:t>
      </w:r>
      <w:r w:rsidR="006F2F93">
        <w:rPr>
          <w:rFonts w:ascii="Arial" w:hAnsi="Arial" w:cs="Arial"/>
          <w:sz w:val="24"/>
          <w:szCs w:val="24"/>
        </w:rPr>
        <w:t xml:space="preserve">below </w:t>
      </w:r>
      <w:r>
        <w:rPr>
          <w:rFonts w:ascii="Arial" w:hAnsi="Arial" w:cs="Arial"/>
          <w:sz w:val="24"/>
          <w:szCs w:val="24"/>
        </w:rPr>
        <w:t xml:space="preserve">shows, </w:t>
      </w:r>
      <w:r w:rsidR="00904484" w:rsidRPr="00904484">
        <w:rPr>
          <w:rFonts w:ascii="Arial" w:hAnsi="Arial" w:cs="Arial"/>
          <w:sz w:val="24"/>
          <w:szCs w:val="24"/>
        </w:rPr>
        <w:t xml:space="preserve">greenhouse gas emissions have shown an overall reduction of </w:t>
      </w:r>
      <w:r>
        <w:rPr>
          <w:rFonts w:ascii="Arial" w:hAnsi="Arial" w:cs="Arial"/>
          <w:sz w:val="24"/>
          <w:szCs w:val="24"/>
        </w:rPr>
        <w:t xml:space="preserve">30% since 2008/09 which puts the council </w:t>
      </w:r>
      <w:r w:rsidR="00904484" w:rsidRPr="00904484">
        <w:rPr>
          <w:rFonts w:ascii="Arial" w:hAnsi="Arial" w:cs="Arial"/>
          <w:sz w:val="24"/>
          <w:szCs w:val="24"/>
        </w:rPr>
        <w:t>on trac</w:t>
      </w:r>
      <w:r>
        <w:rPr>
          <w:rFonts w:ascii="Arial" w:hAnsi="Arial" w:cs="Arial"/>
          <w:sz w:val="24"/>
          <w:szCs w:val="24"/>
        </w:rPr>
        <w:t xml:space="preserve">k to meet the 2025 </w:t>
      </w:r>
      <w:r>
        <w:rPr>
          <w:rFonts w:ascii="Arial" w:hAnsi="Arial" w:cs="Arial"/>
          <w:sz w:val="24"/>
          <w:szCs w:val="24"/>
        </w:rPr>
        <w:lastRenderedPageBreak/>
        <w:t xml:space="preserve">target.  The </w:t>
      </w:r>
      <w:r w:rsidR="00904484" w:rsidRPr="00904484">
        <w:rPr>
          <w:rFonts w:ascii="Arial" w:hAnsi="Arial" w:cs="Arial"/>
          <w:sz w:val="24"/>
          <w:szCs w:val="24"/>
        </w:rPr>
        <w:t>carbon footprint stood at 47,676 tonnes of carbon dioxide equivalent (CO</w:t>
      </w:r>
      <w:r w:rsidR="00904484" w:rsidRPr="00904484">
        <w:rPr>
          <w:rFonts w:ascii="Arial" w:hAnsi="Arial" w:cs="Arial"/>
          <w:sz w:val="24"/>
          <w:szCs w:val="24"/>
          <w:vertAlign w:val="subscript"/>
        </w:rPr>
        <w:t>2</w:t>
      </w:r>
      <w:r w:rsidR="00904484" w:rsidRPr="00904484">
        <w:rPr>
          <w:rFonts w:ascii="Arial" w:hAnsi="Arial" w:cs="Arial"/>
          <w:sz w:val="24"/>
          <w:szCs w:val="24"/>
        </w:rPr>
        <w:t>e)</w:t>
      </w:r>
      <w:r w:rsidR="00904484" w:rsidRPr="00904484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904484" w:rsidRPr="00904484">
        <w:rPr>
          <w:rFonts w:ascii="Arial" w:hAnsi="Arial" w:cs="Arial"/>
          <w:sz w:val="24"/>
          <w:szCs w:val="24"/>
        </w:rPr>
        <w:t xml:space="preserve"> in 2016/17.</w:t>
      </w:r>
    </w:p>
    <w:p w:rsidR="00904484" w:rsidRDefault="00904484" w:rsidP="00904484">
      <w:pPr>
        <w:spacing w:after="0"/>
        <w:rPr>
          <w:rFonts w:ascii="Arial" w:hAnsi="Arial" w:cs="Arial"/>
          <w:b/>
          <w:sz w:val="24"/>
          <w:szCs w:val="24"/>
        </w:rPr>
      </w:pPr>
    </w:p>
    <w:p w:rsidR="00904484" w:rsidRPr="00904484" w:rsidRDefault="00904484" w:rsidP="00904484">
      <w:pPr>
        <w:spacing w:after="0"/>
        <w:rPr>
          <w:rFonts w:ascii="Arial" w:hAnsi="Arial" w:cs="Arial"/>
          <w:b/>
          <w:sz w:val="24"/>
          <w:szCs w:val="24"/>
        </w:rPr>
      </w:pPr>
      <w:r w:rsidRPr="00904484">
        <w:rPr>
          <w:rFonts w:ascii="Arial" w:hAnsi="Arial" w:cs="Arial"/>
          <w:b/>
          <w:sz w:val="24"/>
          <w:szCs w:val="24"/>
        </w:rPr>
        <w:t>Figure 2:  Leicester City Council’s greenhouse gas emissions by financial year</w:t>
      </w:r>
    </w:p>
    <w:p w:rsidR="00904484" w:rsidRPr="00904484" w:rsidRDefault="00904484" w:rsidP="00904484">
      <w:pPr>
        <w:spacing w:after="0"/>
        <w:rPr>
          <w:rFonts w:ascii="Arial" w:hAnsi="Arial" w:cs="Arial"/>
          <w:b/>
          <w:sz w:val="24"/>
          <w:szCs w:val="24"/>
        </w:rPr>
      </w:pPr>
      <w:r w:rsidRPr="00904484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9719042" wp14:editId="74B8238B">
            <wp:extent cx="6161103" cy="3799642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D6F79" w:rsidRDefault="000D6F79" w:rsidP="00904484">
      <w:pPr>
        <w:spacing w:after="0"/>
        <w:rPr>
          <w:rFonts w:ascii="Arial" w:hAnsi="Arial" w:cs="Arial"/>
          <w:sz w:val="24"/>
          <w:szCs w:val="24"/>
        </w:rPr>
      </w:pPr>
    </w:p>
    <w:p w:rsidR="000D6F79" w:rsidRDefault="00904484" w:rsidP="00904484">
      <w:pPr>
        <w:spacing w:after="0"/>
        <w:rPr>
          <w:rFonts w:ascii="Arial" w:hAnsi="Arial" w:cs="Arial"/>
          <w:sz w:val="24"/>
          <w:szCs w:val="24"/>
        </w:rPr>
      </w:pPr>
      <w:r w:rsidRPr="00904484">
        <w:rPr>
          <w:rFonts w:ascii="Arial" w:hAnsi="Arial" w:cs="Arial"/>
          <w:sz w:val="24"/>
          <w:szCs w:val="24"/>
        </w:rPr>
        <w:t>The factors behind the progress so far include:</w:t>
      </w:r>
    </w:p>
    <w:p w:rsidR="00904484" w:rsidRPr="00904484" w:rsidRDefault="00904484" w:rsidP="00904484">
      <w:pPr>
        <w:spacing w:after="0"/>
        <w:rPr>
          <w:rFonts w:ascii="Arial" w:hAnsi="Arial" w:cs="Arial"/>
          <w:sz w:val="24"/>
          <w:szCs w:val="24"/>
        </w:rPr>
      </w:pPr>
      <w:r w:rsidRPr="00904484">
        <w:rPr>
          <w:rFonts w:ascii="Arial" w:hAnsi="Arial" w:cs="Arial"/>
          <w:sz w:val="24"/>
          <w:szCs w:val="24"/>
        </w:rPr>
        <w:t xml:space="preserve"> </w:t>
      </w:r>
    </w:p>
    <w:p w:rsidR="00904484" w:rsidRPr="00904484" w:rsidRDefault="00904484" w:rsidP="00904484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904484">
        <w:rPr>
          <w:rFonts w:ascii="Arial" w:hAnsi="Arial" w:cs="Arial"/>
          <w:sz w:val="24"/>
          <w:szCs w:val="24"/>
        </w:rPr>
        <w:t>the introduction of energy-saving LED street lighting across the city through the White Lights Project, reducing its electricity demand by 54%</w:t>
      </w:r>
    </w:p>
    <w:p w:rsidR="00904484" w:rsidRPr="00904484" w:rsidRDefault="00904484" w:rsidP="00904484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904484">
        <w:rPr>
          <w:rFonts w:ascii="Arial" w:hAnsi="Arial" w:cs="Arial"/>
          <w:sz w:val="24"/>
          <w:szCs w:val="24"/>
        </w:rPr>
        <w:t>relocating city centre based staff into more efficient, refurbished offices with lower energy demand - including City Hall</w:t>
      </w:r>
    </w:p>
    <w:p w:rsidR="00904484" w:rsidRPr="00904484" w:rsidRDefault="00904484" w:rsidP="00904484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904484">
        <w:rPr>
          <w:rFonts w:ascii="Arial" w:hAnsi="Arial" w:cs="Arial"/>
          <w:sz w:val="24"/>
          <w:szCs w:val="24"/>
        </w:rPr>
        <w:t>consolidating</w:t>
      </w:r>
      <w:proofErr w:type="gramEnd"/>
      <w:r w:rsidRPr="00904484">
        <w:rPr>
          <w:rFonts w:ascii="Arial" w:hAnsi="Arial" w:cs="Arial"/>
          <w:sz w:val="24"/>
          <w:szCs w:val="24"/>
        </w:rPr>
        <w:t xml:space="preserve"> community facilities including libraries and community centres into fewer, better-used buildings, through the Transforming Neighbourhood Services project – saving energy by reducing the </w:t>
      </w:r>
      <w:proofErr w:type="spellStart"/>
      <w:r w:rsidRPr="00904484">
        <w:rPr>
          <w:rFonts w:ascii="Arial" w:hAnsi="Arial" w:cs="Arial"/>
          <w:sz w:val="24"/>
          <w:szCs w:val="24"/>
        </w:rPr>
        <w:t>floorspace</w:t>
      </w:r>
      <w:proofErr w:type="spellEnd"/>
      <w:r w:rsidRPr="00904484">
        <w:rPr>
          <w:rFonts w:ascii="Arial" w:hAnsi="Arial" w:cs="Arial"/>
          <w:sz w:val="24"/>
          <w:szCs w:val="24"/>
        </w:rPr>
        <w:t xml:space="preserve"> of buildings needing to be heated and lit.</w:t>
      </w:r>
    </w:p>
    <w:p w:rsidR="00904484" w:rsidRPr="00904484" w:rsidRDefault="00904484" w:rsidP="00904484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904484">
        <w:rPr>
          <w:rFonts w:ascii="Arial" w:hAnsi="Arial" w:cs="Arial"/>
          <w:sz w:val="24"/>
          <w:szCs w:val="24"/>
        </w:rPr>
        <w:t>consolidating our vehicle fleet by reducing our travel and making better use of the remaining vehicles</w:t>
      </w:r>
    </w:p>
    <w:p w:rsidR="00904484" w:rsidRPr="00904484" w:rsidRDefault="00904484" w:rsidP="00904484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904484">
        <w:rPr>
          <w:rFonts w:ascii="Arial" w:hAnsi="Arial" w:cs="Arial"/>
          <w:sz w:val="24"/>
          <w:szCs w:val="24"/>
        </w:rPr>
        <w:t>electricity</w:t>
      </w:r>
      <w:proofErr w:type="gramEnd"/>
      <w:r w:rsidRPr="00904484">
        <w:rPr>
          <w:rFonts w:ascii="Arial" w:hAnsi="Arial" w:cs="Arial"/>
          <w:sz w:val="24"/>
          <w:szCs w:val="24"/>
        </w:rPr>
        <w:t xml:space="preserve"> is becoming ‘greener’ as the UK relies less on coal fired power stations and more on renewables such as wind and solar power.</w:t>
      </w:r>
    </w:p>
    <w:p w:rsidR="00904484" w:rsidRPr="00904484" w:rsidRDefault="00904484" w:rsidP="00904484">
      <w:pPr>
        <w:spacing w:after="0"/>
        <w:rPr>
          <w:rFonts w:ascii="Arial" w:hAnsi="Arial" w:cs="Arial"/>
          <w:sz w:val="24"/>
          <w:szCs w:val="24"/>
        </w:rPr>
      </w:pPr>
    </w:p>
    <w:p w:rsidR="00B23FF3" w:rsidRPr="00904484" w:rsidRDefault="00B23FF3" w:rsidP="00904484">
      <w:pPr>
        <w:spacing w:after="0"/>
        <w:rPr>
          <w:rFonts w:ascii="Arial" w:hAnsi="Arial" w:cs="Arial"/>
          <w:sz w:val="24"/>
          <w:szCs w:val="24"/>
        </w:rPr>
      </w:pPr>
    </w:p>
    <w:sectPr w:rsidR="00B23FF3" w:rsidRPr="00904484" w:rsidSect="007735A8">
      <w:headerReference w:type="default" r:id="rId11"/>
      <w:footerReference w:type="default" r:id="rId12"/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5B6" w:rsidRDefault="000765B6" w:rsidP="00593836">
      <w:pPr>
        <w:spacing w:after="0" w:line="240" w:lineRule="auto"/>
      </w:pPr>
      <w:r>
        <w:separator/>
      </w:r>
    </w:p>
  </w:endnote>
  <w:endnote w:type="continuationSeparator" w:id="0">
    <w:p w:rsidR="000765B6" w:rsidRDefault="000765B6" w:rsidP="0059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</w:rPr>
      <w:id w:val="575470904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C35FC" w:rsidRPr="00766A04" w:rsidRDefault="006C35FC">
            <w:pPr>
              <w:pStyle w:val="Footer"/>
              <w:jc w:val="center"/>
              <w:rPr>
                <w:color w:val="A6A6A6" w:themeColor="background1" w:themeShade="A6"/>
              </w:rPr>
            </w:pPr>
            <w:r w:rsidRPr="00766A04">
              <w:rPr>
                <w:color w:val="A6A6A6" w:themeColor="background1" w:themeShade="A6"/>
              </w:rPr>
              <w:t xml:space="preserve">Page </w:t>
            </w:r>
            <w:r w:rsidRPr="00766A04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766A04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766A04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B93D02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766A04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766A04">
              <w:rPr>
                <w:color w:val="A6A6A6" w:themeColor="background1" w:themeShade="A6"/>
              </w:rPr>
              <w:t xml:space="preserve"> of </w:t>
            </w:r>
            <w:r w:rsidRPr="00766A04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766A04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766A04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B93D02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766A04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:rsidR="006C35FC" w:rsidRDefault="006C3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5B6" w:rsidRDefault="000765B6" w:rsidP="00593836">
      <w:pPr>
        <w:spacing w:after="0" w:line="240" w:lineRule="auto"/>
      </w:pPr>
      <w:r>
        <w:separator/>
      </w:r>
    </w:p>
  </w:footnote>
  <w:footnote w:type="continuationSeparator" w:id="0">
    <w:p w:rsidR="000765B6" w:rsidRDefault="000765B6" w:rsidP="00593836">
      <w:pPr>
        <w:spacing w:after="0" w:line="240" w:lineRule="auto"/>
      </w:pPr>
      <w:r>
        <w:continuationSeparator/>
      </w:r>
    </w:p>
  </w:footnote>
  <w:footnote w:id="1">
    <w:p w:rsidR="00904484" w:rsidRDefault="00904484" w:rsidP="00904484">
      <w:pPr>
        <w:pStyle w:val="FootnoteText"/>
      </w:pPr>
      <w:r>
        <w:rPr>
          <w:rStyle w:val="FootnoteReference"/>
        </w:rPr>
        <w:footnoteRef/>
      </w:r>
      <w:r>
        <w:t xml:space="preserve"> The council reports on its emissions of the 7 main ‘greenhouse gases’.  Figures for those other than carbon dioxide (CO</w:t>
      </w:r>
      <w:r w:rsidRPr="007D7FD4">
        <w:rPr>
          <w:vertAlign w:val="subscript"/>
        </w:rPr>
        <w:t>2</w:t>
      </w:r>
      <w:r>
        <w:t>) are converted into the equivalent quantity of CO</w:t>
      </w:r>
      <w:r w:rsidRPr="007D7FD4">
        <w:rPr>
          <w:vertAlign w:val="subscript"/>
        </w:rPr>
        <w:t>2</w:t>
      </w:r>
      <w:r>
        <w:t xml:space="preserve"> which would have the same impact on climate change i.e. their carbon dioxide equivalent (CO</w:t>
      </w:r>
      <w:r w:rsidRPr="007D7FD4">
        <w:rPr>
          <w:vertAlign w:val="subscript"/>
        </w:rPr>
        <w:t>2</w:t>
      </w:r>
      <w:r>
        <w:t xml:space="preserve">e).  This is so that a single figure can be reported.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5FC" w:rsidRPr="00766A04" w:rsidRDefault="006C35FC">
    <w:pPr>
      <w:pStyle w:val="Header"/>
      <w:rPr>
        <w:rFonts w:ascii="Arial" w:hAnsi="Arial" w:cs="Arial"/>
        <w:color w:val="A6A6A6" w:themeColor="background1" w:themeShade="A6"/>
        <w:sz w:val="20"/>
        <w:szCs w:val="20"/>
      </w:rPr>
    </w:pPr>
    <w:r w:rsidRPr="00766A04">
      <w:rPr>
        <w:rFonts w:ascii="Arial" w:hAnsi="Arial" w:cs="Arial"/>
        <w:color w:val="A6A6A6" w:themeColor="background1" w:themeShade="A6"/>
        <w:sz w:val="20"/>
        <w:szCs w:val="20"/>
      </w:rPr>
      <w:t xml:space="preserve">Leicester City Council’s Environmental Statement </w:t>
    </w:r>
    <w:r>
      <w:rPr>
        <w:rFonts w:ascii="Arial" w:hAnsi="Arial" w:cs="Arial"/>
        <w:color w:val="A6A6A6" w:themeColor="background1" w:themeShade="A6"/>
        <w:sz w:val="20"/>
        <w:szCs w:val="20"/>
      </w:rPr>
      <w:t>April 2014 – March 2015</w:t>
    </w:r>
  </w:p>
  <w:p w:rsidR="006C35FC" w:rsidRDefault="006C35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EF0"/>
    <w:multiLevelType w:val="hybridMultilevel"/>
    <w:tmpl w:val="C0901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C0DE9"/>
    <w:multiLevelType w:val="hybridMultilevel"/>
    <w:tmpl w:val="919C8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05040"/>
    <w:multiLevelType w:val="hybridMultilevel"/>
    <w:tmpl w:val="BAB4F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E35E5F"/>
    <w:multiLevelType w:val="hybridMultilevel"/>
    <w:tmpl w:val="D3644DC6"/>
    <w:lvl w:ilvl="0" w:tplc="1946E38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9C3A11"/>
    <w:multiLevelType w:val="hybridMultilevel"/>
    <w:tmpl w:val="B9FC7D34"/>
    <w:lvl w:ilvl="0" w:tplc="3A3C604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C836AB"/>
    <w:multiLevelType w:val="hybridMultilevel"/>
    <w:tmpl w:val="06DCA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05C3B"/>
    <w:multiLevelType w:val="hybridMultilevel"/>
    <w:tmpl w:val="FD843B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27B9F"/>
    <w:multiLevelType w:val="hybridMultilevel"/>
    <w:tmpl w:val="CF6A9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05C29"/>
    <w:multiLevelType w:val="hybridMultilevel"/>
    <w:tmpl w:val="97FC3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2F5E17"/>
    <w:multiLevelType w:val="hybridMultilevel"/>
    <w:tmpl w:val="C6322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C449C"/>
    <w:multiLevelType w:val="hybridMultilevel"/>
    <w:tmpl w:val="29504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3653A8"/>
    <w:multiLevelType w:val="hybridMultilevel"/>
    <w:tmpl w:val="2E7A8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A3550"/>
    <w:multiLevelType w:val="hybridMultilevel"/>
    <w:tmpl w:val="17FEC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20B98"/>
    <w:multiLevelType w:val="hybridMultilevel"/>
    <w:tmpl w:val="E4425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>
    <w:nsid w:val="67F56A1E"/>
    <w:multiLevelType w:val="hybridMultilevel"/>
    <w:tmpl w:val="77E40C6A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5">
    <w:nsid w:val="69843C7F"/>
    <w:multiLevelType w:val="hybridMultilevel"/>
    <w:tmpl w:val="3D86B0F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061612"/>
    <w:multiLevelType w:val="hybridMultilevel"/>
    <w:tmpl w:val="E6B68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>
    <w:nsid w:val="750A5626"/>
    <w:multiLevelType w:val="hybridMultilevel"/>
    <w:tmpl w:val="58808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B7418"/>
    <w:multiLevelType w:val="hybridMultilevel"/>
    <w:tmpl w:val="3E22FDE0"/>
    <w:lvl w:ilvl="0" w:tplc="1946E38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9"/>
  </w:num>
  <w:num w:numId="5">
    <w:abstractNumId w:val="11"/>
  </w:num>
  <w:num w:numId="6">
    <w:abstractNumId w:val="17"/>
  </w:num>
  <w:num w:numId="7">
    <w:abstractNumId w:val="3"/>
  </w:num>
  <w:num w:numId="8">
    <w:abstractNumId w:val="18"/>
  </w:num>
  <w:num w:numId="9">
    <w:abstractNumId w:val="8"/>
  </w:num>
  <w:num w:numId="10">
    <w:abstractNumId w:val="14"/>
  </w:num>
  <w:num w:numId="11">
    <w:abstractNumId w:val="13"/>
  </w:num>
  <w:num w:numId="12">
    <w:abstractNumId w:val="16"/>
  </w:num>
  <w:num w:numId="13">
    <w:abstractNumId w:val="10"/>
  </w:num>
  <w:num w:numId="14">
    <w:abstractNumId w:val="7"/>
  </w:num>
  <w:num w:numId="15">
    <w:abstractNumId w:val="4"/>
  </w:num>
  <w:num w:numId="16">
    <w:abstractNumId w:val="12"/>
  </w:num>
  <w:num w:numId="17">
    <w:abstractNumId w:val="0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A1"/>
    <w:rsid w:val="0001261A"/>
    <w:rsid w:val="00016F95"/>
    <w:rsid w:val="00030ECD"/>
    <w:rsid w:val="0003557C"/>
    <w:rsid w:val="00061136"/>
    <w:rsid w:val="00072DFA"/>
    <w:rsid w:val="000765B6"/>
    <w:rsid w:val="00090104"/>
    <w:rsid w:val="000917F6"/>
    <w:rsid w:val="000A225B"/>
    <w:rsid w:val="000D0331"/>
    <w:rsid w:val="000D099F"/>
    <w:rsid w:val="000D2A5E"/>
    <w:rsid w:val="000D6F79"/>
    <w:rsid w:val="000F0191"/>
    <w:rsid w:val="000F3D70"/>
    <w:rsid w:val="000F7D0F"/>
    <w:rsid w:val="00111B3C"/>
    <w:rsid w:val="00121AC6"/>
    <w:rsid w:val="00121B60"/>
    <w:rsid w:val="00132A25"/>
    <w:rsid w:val="00132EDB"/>
    <w:rsid w:val="00134440"/>
    <w:rsid w:val="001429CD"/>
    <w:rsid w:val="0014356C"/>
    <w:rsid w:val="00143F81"/>
    <w:rsid w:val="00144540"/>
    <w:rsid w:val="00157DFC"/>
    <w:rsid w:val="0016322F"/>
    <w:rsid w:val="001712D1"/>
    <w:rsid w:val="00172B52"/>
    <w:rsid w:val="00176C6C"/>
    <w:rsid w:val="00185403"/>
    <w:rsid w:val="00194A98"/>
    <w:rsid w:val="00196135"/>
    <w:rsid w:val="001A4872"/>
    <w:rsid w:val="001C302D"/>
    <w:rsid w:val="001C3F27"/>
    <w:rsid w:val="001C6437"/>
    <w:rsid w:val="001E1D06"/>
    <w:rsid w:val="001E325B"/>
    <w:rsid w:val="001E77BC"/>
    <w:rsid w:val="001E7BAF"/>
    <w:rsid w:val="00203276"/>
    <w:rsid w:val="00205DEF"/>
    <w:rsid w:val="00207B23"/>
    <w:rsid w:val="00222EF9"/>
    <w:rsid w:val="0023048F"/>
    <w:rsid w:val="00231B50"/>
    <w:rsid w:val="00237E6F"/>
    <w:rsid w:val="002526E9"/>
    <w:rsid w:val="00265C99"/>
    <w:rsid w:val="00274C56"/>
    <w:rsid w:val="00276CAD"/>
    <w:rsid w:val="00281EF4"/>
    <w:rsid w:val="00282AE4"/>
    <w:rsid w:val="00283510"/>
    <w:rsid w:val="00284170"/>
    <w:rsid w:val="002A511A"/>
    <w:rsid w:val="002A6FB1"/>
    <w:rsid w:val="002B2A5A"/>
    <w:rsid w:val="002E049B"/>
    <w:rsid w:val="002E5012"/>
    <w:rsid w:val="002F00FC"/>
    <w:rsid w:val="002F13E4"/>
    <w:rsid w:val="002F559C"/>
    <w:rsid w:val="0031306E"/>
    <w:rsid w:val="003145AE"/>
    <w:rsid w:val="00317D2E"/>
    <w:rsid w:val="00320C6D"/>
    <w:rsid w:val="00340D7B"/>
    <w:rsid w:val="0034625C"/>
    <w:rsid w:val="00361FA5"/>
    <w:rsid w:val="00363651"/>
    <w:rsid w:val="003670E4"/>
    <w:rsid w:val="00381B6B"/>
    <w:rsid w:val="0038226C"/>
    <w:rsid w:val="00386393"/>
    <w:rsid w:val="003873F9"/>
    <w:rsid w:val="003A1960"/>
    <w:rsid w:val="003C10ED"/>
    <w:rsid w:val="003D27E0"/>
    <w:rsid w:val="003D2E3D"/>
    <w:rsid w:val="003D49C2"/>
    <w:rsid w:val="003E6CF4"/>
    <w:rsid w:val="004115B9"/>
    <w:rsid w:val="00414D2B"/>
    <w:rsid w:val="00416F3E"/>
    <w:rsid w:val="004214A8"/>
    <w:rsid w:val="004235CE"/>
    <w:rsid w:val="004371CC"/>
    <w:rsid w:val="00452CAB"/>
    <w:rsid w:val="00455A75"/>
    <w:rsid w:val="00460C9B"/>
    <w:rsid w:val="0046713C"/>
    <w:rsid w:val="00476734"/>
    <w:rsid w:val="00481728"/>
    <w:rsid w:val="00485AE3"/>
    <w:rsid w:val="0049726D"/>
    <w:rsid w:val="004A0D13"/>
    <w:rsid w:val="004B714A"/>
    <w:rsid w:val="004C4E50"/>
    <w:rsid w:val="004C7C48"/>
    <w:rsid w:val="004F1070"/>
    <w:rsid w:val="004F2092"/>
    <w:rsid w:val="00502F54"/>
    <w:rsid w:val="00504B37"/>
    <w:rsid w:val="005270BA"/>
    <w:rsid w:val="00543A26"/>
    <w:rsid w:val="00545E31"/>
    <w:rsid w:val="0055135F"/>
    <w:rsid w:val="0055207C"/>
    <w:rsid w:val="00553626"/>
    <w:rsid w:val="00575B79"/>
    <w:rsid w:val="00577573"/>
    <w:rsid w:val="00581403"/>
    <w:rsid w:val="00584B70"/>
    <w:rsid w:val="00590D6D"/>
    <w:rsid w:val="00593836"/>
    <w:rsid w:val="005A09B0"/>
    <w:rsid w:val="005A45AF"/>
    <w:rsid w:val="005B6FDE"/>
    <w:rsid w:val="005C5ABB"/>
    <w:rsid w:val="005E2820"/>
    <w:rsid w:val="005F31E8"/>
    <w:rsid w:val="005F4747"/>
    <w:rsid w:val="00606342"/>
    <w:rsid w:val="00607802"/>
    <w:rsid w:val="00607DD2"/>
    <w:rsid w:val="0062222E"/>
    <w:rsid w:val="00627DA2"/>
    <w:rsid w:val="0064004B"/>
    <w:rsid w:val="0065534E"/>
    <w:rsid w:val="006574E6"/>
    <w:rsid w:val="00661A04"/>
    <w:rsid w:val="0066431B"/>
    <w:rsid w:val="0066772C"/>
    <w:rsid w:val="0067123D"/>
    <w:rsid w:val="00672673"/>
    <w:rsid w:val="006770E1"/>
    <w:rsid w:val="006839D2"/>
    <w:rsid w:val="0068785C"/>
    <w:rsid w:val="0069510B"/>
    <w:rsid w:val="006B117D"/>
    <w:rsid w:val="006C2A54"/>
    <w:rsid w:val="006C35FC"/>
    <w:rsid w:val="006D3B33"/>
    <w:rsid w:val="006D7BCE"/>
    <w:rsid w:val="006E1936"/>
    <w:rsid w:val="006E1B3F"/>
    <w:rsid w:val="006F1269"/>
    <w:rsid w:val="006F2F93"/>
    <w:rsid w:val="00704A7F"/>
    <w:rsid w:val="00710BA0"/>
    <w:rsid w:val="007127A7"/>
    <w:rsid w:val="00720369"/>
    <w:rsid w:val="007213D5"/>
    <w:rsid w:val="00727D73"/>
    <w:rsid w:val="007316FC"/>
    <w:rsid w:val="00747D52"/>
    <w:rsid w:val="00763051"/>
    <w:rsid w:val="00764967"/>
    <w:rsid w:val="00766A04"/>
    <w:rsid w:val="0076704C"/>
    <w:rsid w:val="007735A8"/>
    <w:rsid w:val="00785999"/>
    <w:rsid w:val="007877DF"/>
    <w:rsid w:val="007A0DD4"/>
    <w:rsid w:val="007A2EA2"/>
    <w:rsid w:val="007B1E6D"/>
    <w:rsid w:val="007C0202"/>
    <w:rsid w:val="007D2F42"/>
    <w:rsid w:val="007F4B86"/>
    <w:rsid w:val="00804213"/>
    <w:rsid w:val="00830271"/>
    <w:rsid w:val="00830B12"/>
    <w:rsid w:val="00875436"/>
    <w:rsid w:val="0087727E"/>
    <w:rsid w:val="00881CE0"/>
    <w:rsid w:val="00881E98"/>
    <w:rsid w:val="00892481"/>
    <w:rsid w:val="00893403"/>
    <w:rsid w:val="008A4E08"/>
    <w:rsid w:val="008A6645"/>
    <w:rsid w:val="008A75F8"/>
    <w:rsid w:val="008B2865"/>
    <w:rsid w:val="008B45E0"/>
    <w:rsid w:val="008C26EA"/>
    <w:rsid w:val="008D07A9"/>
    <w:rsid w:val="008D205B"/>
    <w:rsid w:val="008D28ED"/>
    <w:rsid w:val="008E50D7"/>
    <w:rsid w:val="008F13EE"/>
    <w:rsid w:val="008F2C66"/>
    <w:rsid w:val="008F326E"/>
    <w:rsid w:val="008F34CA"/>
    <w:rsid w:val="008F5C12"/>
    <w:rsid w:val="00902921"/>
    <w:rsid w:val="00904484"/>
    <w:rsid w:val="009069BB"/>
    <w:rsid w:val="00906B54"/>
    <w:rsid w:val="0091139E"/>
    <w:rsid w:val="0091753C"/>
    <w:rsid w:val="00923583"/>
    <w:rsid w:val="00923D76"/>
    <w:rsid w:val="00930BEC"/>
    <w:rsid w:val="00932840"/>
    <w:rsid w:val="0095045B"/>
    <w:rsid w:val="0097447F"/>
    <w:rsid w:val="00974CC9"/>
    <w:rsid w:val="0097532B"/>
    <w:rsid w:val="009853BB"/>
    <w:rsid w:val="009A562E"/>
    <w:rsid w:val="009B1BE4"/>
    <w:rsid w:val="009B2A95"/>
    <w:rsid w:val="009C731D"/>
    <w:rsid w:val="009D4D53"/>
    <w:rsid w:val="009E14CA"/>
    <w:rsid w:val="009E6235"/>
    <w:rsid w:val="009F1999"/>
    <w:rsid w:val="009F2D24"/>
    <w:rsid w:val="009F3D33"/>
    <w:rsid w:val="009F4A94"/>
    <w:rsid w:val="00A0315D"/>
    <w:rsid w:val="00A031E8"/>
    <w:rsid w:val="00A05C81"/>
    <w:rsid w:val="00A118BC"/>
    <w:rsid w:val="00A24430"/>
    <w:rsid w:val="00A30FDB"/>
    <w:rsid w:val="00A31E4D"/>
    <w:rsid w:val="00A32A59"/>
    <w:rsid w:val="00A33DFB"/>
    <w:rsid w:val="00A3636B"/>
    <w:rsid w:val="00A36B8C"/>
    <w:rsid w:val="00A451A9"/>
    <w:rsid w:val="00A45D44"/>
    <w:rsid w:val="00A56520"/>
    <w:rsid w:val="00A678C2"/>
    <w:rsid w:val="00A72C65"/>
    <w:rsid w:val="00A74148"/>
    <w:rsid w:val="00A87EAC"/>
    <w:rsid w:val="00A93E08"/>
    <w:rsid w:val="00A94347"/>
    <w:rsid w:val="00A94F4E"/>
    <w:rsid w:val="00AB4A40"/>
    <w:rsid w:val="00AC45C3"/>
    <w:rsid w:val="00AC47B9"/>
    <w:rsid w:val="00AC493A"/>
    <w:rsid w:val="00AD6C7B"/>
    <w:rsid w:val="00AE50E2"/>
    <w:rsid w:val="00B047A7"/>
    <w:rsid w:val="00B14585"/>
    <w:rsid w:val="00B172B0"/>
    <w:rsid w:val="00B23FF3"/>
    <w:rsid w:val="00B25863"/>
    <w:rsid w:val="00B41082"/>
    <w:rsid w:val="00B450D7"/>
    <w:rsid w:val="00B47C5F"/>
    <w:rsid w:val="00B51FDA"/>
    <w:rsid w:val="00B5490D"/>
    <w:rsid w:val="00B55F5E"/>
    <w:rsid w:val="00B578AA"/>
    <w:rsid w:val="00B64E3F"/>
    <w:rsid w:val="00B74FA7"/>
    <w:rsid w:val="00B7682A"/>
    <w:rsid w:val="00B81589"/>
    <w:rsid w:val="00B817CD"/>
    <w:rsid w:val="00B85981"/>
    <w:rsid w:val="00B92954"/>
    <w:rsid w:val="00B93D02"/>
    <w:rsid w:val="00BB5D30"/>
    <w:rsid w:val="00BB637C"/>
    <w:rsid w:val="00BC3D92"/>
    <w:rsid w:val="00BC6143"/>
    <w:rsid w:val="00BE030F"/>
    <w:rsid w:val="00BE04CC"/>
    <w:rsid w:val="00BE0957"/>
    <w:rsid w:val="00BE241A"/>
    <w:rsid w:val="00BF73EF"/>
    <w:rsid w:val="00C002BE"/>
    <w:rsid w:val="00C15578"/>
    <w:rsid w:val="00C22296"/>
    <w:rsid w:val="00C26071"/>
    <w:rsid w:val="00C27CB8"/>
    <w:rsid w:val="00C31D97"/>
    <w:rsid w:val="00C4112F"/>
    <w:rsid w:val="00C52595"/>
    <w:rsid w:val="00C54524"/>
    <w:rsid w:val="00C62076"/>
    <w:rsid w:val="00C720CD"/>
    <w:rsid w:val="00C76AC2"/>
    <w:rsid w:val="00C959DD"/>
    <w:rsid w:val="00CA0BDD"/>
    <w:rsid w:val="00CA1D75"/>
    <w:rsid w:val="00CA2852"/>
    <w:rsid w:val="00CB5AEE"/>
    <w:rsid w:val="00CC2490"/>
    <w:rsid w:val="00CD1C6D"/>
    <w:rsid w:val="00CF1AD6"/>
    <w:rsid w:val="00CF2546"/>
    <w:rsid w:val="00D031D4"/>
    <w:rsid w:val="00D132C7"/>
    <w:rsid w:val="00D24736"/>
    <w:rsid w:val="00D32CCA"/>
    <w:rsid w:val="00D34574"/>
    <w:rsid w:val="00D37A3C"/>
    <w:rsid w:val="00D45352"/>
    <w:rsid w:val="00D47C02"/>
    <w:rsid w:val="00D5005E"/>
    <w:rsid w:val="00D524B1"/>
    <w:rsid w:val="00D7228F"/>
    <w:rsid w:val="00D72511"/>
    <w:rsid w:val="00D73686"/>
    <w:rsid w:val="00D75D4F"/>
    <w:rsid w:val="00D84F08"/>
    <w:rsid w:val="00D934AF"/>
    <w:rsid w:val="00DA275B"/>
    <w:rsid w:val="00DA7934"/>
    <w:rsid w:val="00DB0330"/>
    <w:rsid w:val="00DB1B2B"/>
    <w:rsid w:val="00DB72A9"/>
    <w:rsid w:val="00DD1C6F"/>
    <w:rsid w:val="00E06E67"/>
    <w:rsid w:val="00E16574"/>
    <w:rsid w:val="00E2014D"/>
    <w:rsid w:val="00E22F3E"/>
    <w:rsid w:val="00E37C51"/>
    <w:rsid w:val="00E47BD9"/>
    <w:rsid w:val="00E50378"/>
    <w:rsid w:val="00E51D59"/>
    <w:rsid w:val="00E56187"/>
    <w:rsid w:val="00E654F1"/>
    <w:rsid w:val="00E708E1"/>
    <w:rsid w:val="00E70C43"/>
    <w:rsid w:val="00E8004B"/>
    <w:rsid w:val="00EA7C9E"/>
    <w:rsid w:val="00EA7D57"/>
    <w:rsid w:val="00EC5BE1"/>
    <w:rsid w:val="00ED08A6"/>
    <w:rsid w:val="00EE574B"/>
    <w:rsid w:val="00EE6468"/>
    <w:rsid w:val="00EE744B"/>
    <w:rsid w:val="00EF23A1"/>
    <w:rsid w:val="00F017BD"/>
    <w:rsid w:val="00F0313F"/>
    <w:rsid w:val="00F12980"/>
    <w:rsid w:val="00F15112"/>
    <w:rsid w:val="00F41A03"/>
    <w:rsid w:val="00F41F16"/>
    <w:rsid w:val="00F47D3B"/>
    <w:rsid w:val="00F55417"/>
    <w:rsid w:val="00F56520"/>
    <w:rsid w:val="00F571F6"/>
    <w:rsid w:val="00F57ACC"/>
    <w:rsid w:val="00F715EC"/>
    <w:rsid w:val="00F720B6"/>
    <w:rsid w:val="00F72577"/>
    <w:rsid w:val="00F816F5"/>
    <w:rsid w:val="00F8222A"/>
    <w:rsid w:val="00F823A0"/>
    <w:rsid w:val="00F846E5"/>
    <w:rsid w:val="00F87585"/>
    <w:rsid w:val="00F92A5A"/>
    <w:rsid w:val="00F92B78"/>
    <w:rsid w:val="00F95920"/>
    <w:rsid w:val="00F9682C"/>
    <w:rsid w:val="00FA0167"/>
    <w:rsid w:val="00FA4457"/>
    <w:rsid w:val="00FA7FE8"/>
    <w:rsid w:val="00FC22FD"/>
    <w:rsid w:val="00FC5B41"/>
    <w:rsid w:val="00FC5BA5"/>
    <w:rsid w:val="00FC7E7B"/>
    <w:rsid w:val="00FD44E7"/>
    <w:rsid w:val="00FE1C9C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F1AD6"/>
    <w:pPr>
      <w:keepNext/>
      <w:numPr>
        <w:ilvl w:val="12"/>
      </w:numPr>
      <w:spacing w:before="240" w:after="120" w:line="240" w:lineRule="auto"/>
      <w:outlineLvl w:val="1"/>
    </w:pPr>
    <w:rPr>
      <w:rFonts w:ascii="Arial" w:eastAsia="Times New Roman" w:hAnsi="Arial" w:cs="Times New Roman"/>
      <w:b/>
      <w:sz w:val="32"/>
      <w:szCs w:val="20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F1AD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8"/>
      <w:szCs w:val="26"/>
      <w:lang w:val="en-US"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3F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4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B8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F1AD6"/>
    <w:rPr>
      <w:rFonts w:ascii="Arial" w:eastAsia="Times New Roman" w:hAnsi="Arial" w:cs="Times New Roman"/>
      <w:b/>
      <w:sz w:val="32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F1AD6"/>
    <w:rPr>
      <w:rFonts w:ascii="Arial" w:eastAsia="Times New Roman" w:hAnsi="Arial" w:cs="Arial"/>
      <w:b/>
      <w:bCs/>
      <w:sz w:val="28"/>
      <w:szCs w:val="26"/>
      <w:lang w:val="en-US" w:eastAsia="en-GB"/>
    </w:rPr>
  </w:style>
  <w:style w:type="character" w:styleId="Hyperlink">
    <w:name w:val="Hyperlink"/>
    <w:basedOn w:val="DefaultParagraphFont"/>
    <w:uiPriority w:val="99"/>
    <w:rsid w:val="00CF1AD6"/>
    <w:rPr>
      <w:rFonts w:cs="Times New Roman"/>
      <w:color w:val="0000FF"/>
      <w:u w:val="single"/>
    </w:rPr>
  </w:style>
  <w:style w:type="paragraph" w:customStyle="1" w:styleId="StyleHeading1Centered">
    <w:name w:val="Style Heading 1 + Centered"/>
    <w:basedOn w:val="Heading1"/>
    <w:rsid w:val="00CF1AD6"/>
    <w:pPr>
      <w:keepLines w:val="0"/>
      <w:numPr>
        <w:ilvl w:val="12"/>
      </w:numPr>
      <w:spacing w:before="240" w:after="240" w:line="240" w:lineRule="auto"/>
      <w:jc w:val="center"/>
    </w:pPr>
    <w:rPr>
      <w:rFonts w:ascii="Arial" w:eastAsia="Times New Roman" w:hAnsi="Arial" w:cs="Times New Roman"/>
      <w:color w:val="auto"/>
      <w:sz w:val="36"/>
      <w:szCs w:val="20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F1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38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8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3836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3E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C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3D76"/>
    <w:pPr>
      <w:spacing w:after="0" w:line="240" w:lineRule="auto"/>
    </w:pPr>
  </w:style>
  <w:style w:type="paragraph" w:customStyle="1" w:styleId="Default">
    <w:name w:val="Default"/>
    <w:rsid w:val="00B23F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tementNormal">
    <w:name w:val="Statement Normal"/>
    <w:basedOn w:val="Normal"/>
    <w:qFormat/>
    <w:rsid w:val="00B23FF3"/>
    <w:pPr>
      <w:spacing w:before="40" w:after="6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StatementHeading4">
    <w:name w:val="Statement Heading 4"/>
    <w:basedOn w:val="Heading6"/>
    <w:next w:val="StatementNormal"/>
    <w:qFormat/>
    <w:rsid w:val="00B23FF3"/>
    <w:pPr>
      <w:keepNext w:val="0"/>
      <w:keepLines w:val="0"/>
      <w:spacing w:before="120" w:after="60" w:line="240" w:lineRule="auto"/>
    </w:pPr>
    <w:rPr>
      <w:rFonts w:ascii="Arial" w:eastAsia="Times New Roman" w:hAnsi="Arial" w:cs="Times New Roman"/>
      <w:b/>
      <w:bCs/>
      <w:i w:val="0"/>
      <w:iCs w:val="0"/>
      <w:color w:val="auto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3F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B23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FF3"/>
  </w:style>
  <w:style w:type="paragraph" w:styleId="Footer">
    <w:name w:val="footer"/>
    <w:basedOn w:val="Normal"/>
    <w:link w:val="FooterChar"/>
    <w:uiPriority w:val="99"/>
    <w:unhideWhenUsed/>
    <w:rsid w:val="00B23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F1AD6"/>
    <w:pPr>
      <w:keepNext/>
      <w:numPr>
        <w:ilvl w:val="12"/>
      </w:numPr>
      <w:spacing w:before="240" w:after="120" w:line="240" w:lineRule="auto"/>
      <w:outlineLvl w:val="1"/>
    </w:pPr>
    <w:rPr>
      <w:rFonts w:ascii="Arial" w:eastAsia="Times New Roman" w:hAnsi="Arial" w:cs="Times New Roman"/>
      <w:b/>
      <w:sz w:val="32"/>
      <w:szCs w:val="20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F1AD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8"/>
      <w:szCs w:val="26"/>
      <w:lang w:val="en-US"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3F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4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B8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F1AD6"/>
    <w:rPr>
      <w:rFonts w:ascii="Arial" w:eastAsia="Times New Roman" w:hAnsi="Arial" w:cs="Times New Roman"/>
      <w:b/>
      <w:sz w:val="32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F1AD6"/>
    <w:rPr>
      <w:rFonts w:ascii="Arial" w:eastAsia="Times New Roman" w:hAnsi="Arial" w:cs="Arial"/>
      <w:b/>
      <w:bCs/>
      <w:sz w:val="28"/>
      <w:szCs w:val="26"/>
      <w:lang w:val="en-US" w:eastAsia="en-GB"/>
    </w:rPr>
  </w:style>
  <w:style w:type="character" w:styleId="Hyperlink">
    <w:name w:val="Hyperlink"/>
    <w:basedOn w:val="DefaultParagraphFont"/>
    <w:uiPriority w:val="99"/>
    <w:rsid w:val="00CF1AD6"/>
    <w:rPr>
      <w:rFonts w:cs="Times New Roman"/>
      <w:color w:val="0000FF"/>
      <w:u w:val="single"/>
    </w:rPr>
  </w:style>
  <w:style w:type="paragraph" w:customStyle="1" w:styleId="StyleHeading1Centered">
    <w:name w:val="Style Heading 1 + Centered"/>
    <w:basedOn w:val="Heading1"/>
    <w:rsid w:val="00CF1AD6"/>
    <w:pPr>
      <w:keepLines w:val="0"/>
      <w:numPr>
        <w:ilvl w:val="12"/>
      </w:numPr>
      <w:spacing w:before="240" w:after="240" w:line="240" w:lineRule="auto"/>
      <w:jc w:val="center"/>
    </w:pPr>
    <w:rPr>
      <w:rFonts w:ascii="Arial" w:eastAsia="Times New Roman" w:hAnsi="Arial" w:cs="Times New Roman"/>
      <w:color w:val="auto"/>
      <w:sz w:val="36"/>
      <w:szCs w:val="20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F1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38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8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3836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3E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C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3D76"/>
    <w:pPr>
      <w:spacing w:after="0" w:line="240" w:lineRule="auto"/>
    </w:pPr>
  </w:style>
  <w:style w:type="paragraph" w:customStyle="1" w:styleId="Default">
    <w:name w:val="Default"/>
    <w:rsid w:val="00B23F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tementNormal">
    <w:name w:val="Statement Normal"/>
    <w:basedOn w:val="Normal"/>
    <w:qFormat/>
    <w:rsid w:val="00B23FF3"/>
    <w:pPr>
      <w:spacing w:before="40" w:after="6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StatementHeading4">
    <w:name w:val="Statement Heading 4"/>
    <w:basedOn w:val="Heading6"/>
    <w:next w:val="StatementNormal"/>
    <w:qFormat/>
    <w:rsid w:val="00B23FF3"/>
    <w:pPr>
      <w:keepNext w:val="0"/>
      <w:keepLines w:val="0"/>
      <w:spacing w:before="120" w:after="60" w:line="240" w:lineRule="auto"/>
    </w:pPr>
    <w:rPr>
      <w:rFonts w:ascii="Arial" w:eastAsia="Times New Roman" w:hAnsi="Arial" w:cs="Times New Roman"/>
      <w:b/>
      <w:bCs/>
      <w:i w:val="0"/>
      <w:iCs w:val="0"/>
      <w:color w:val="auto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3F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B23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FF3"/>
  </w:style>
  <w:style w:type="paragraph" w:styleId="Footer">
    <w:name w:val="footer"/>
    <w:basedOn w:val="Normal"/>
    <w:link w:val="FooterChar"/>
    <w:uiPriority w:val="99"/>
    <w:unhideWhenUsed/>
    <w:rsid w:val="00B23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VS-DATA6\DATA6\team\psd\en\DATA\EMAS\Environmental%20Statement\14-15\Paper%20use%20graph%202014-15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Sheet1!$B$33</c:f>
              <c:strCache>
                <c:ptCount val="1"/>
                <c:pt idx="0">
                  <c:v>Photocopying &amp; Printing</c:v>
                </c:pt>
              </c:strCache>
            </c:strRef>
          </c:tx>
          <c:invertIfNegative val="0"/>
          <c:cat>
            <c:strRef>
              <c:f>Sheet1!$A$34:$A$39</c:f>
              <c:strCache>
                <c:ptCount val="6"/>
                <c:pt idx="0">
                  <c:v>2009/10</c:v>
                </c:pt>
                <c:pt idx="1">
                  <c:v>2010/11</c:v>
                </c:pt>
                <c:pt idx="2">
                  <c:v>2011/12</c:v>
                </c:pt>
                <c:pt idx="3">
                  <c:v>2012/13</c:v>
                </c:pt>
                <c:pt idx="4">
                  <c:v>2013/14</c:v>
                </c:pt>
                <c:pt idx="5">
                  <c:v>2014/15</c:v>
                </c:pt>
              </c:strCache>
            </c:strRef>
          </c:cat>
          <c:val>
            <c:numRef>
              <c:f>Sheet1!$B$34:$B$39</c:f>
              <c:numCache>
                <c:formatCode>General</c:formatCode>
                <c:ptCount val="6"/>
                <c:pt idx="0">
                  <c:v>34163952</c:v>
                </c:pt>
                <c:pt idx="1">
                  <c:v>40921092</c:v>
                </c:pt>
                <c:pt idx="2">
                  <c:v>35399008</c:v>
                </c:pt>
                <c:pt idx="3">
                  <c:v>30023918</c:v>
                </c:pt>
                <c:pt idx="4">
                  <c:v>35291455</c:v>
                </c:pt>
                <c:pt idx="5">
                  <c:v>35426579</c:v>
                </c:pt>
              </c:numCache>
            </c:numRef>
          </c:val>
        </c:ser>
        <c:ser>
          <c:idx val="1"/>
          <c:order val="1"/>
          <c:tx>
            <c:strRef>
              <c:f>Sheet1!$C$33</c:f>
              <c:strCache>
                <c:ptCount val="1"/>
                <c:pt idx="0">
                  <c:v>Leaflets &amp; Posters</c:v>
                </c:pt>
              </c:strCache>
            </c:strRef>
          </c:tx>
          <c:invertIfNegative val="0"/>
          <c:cat>
            <c:strRef>
              <c:f>Sheet1!$A$34:$A$39</c:f>
              <c:strCache>
                <c:ptCount val="6"/>
                <c:pt idx="0">
                  <c:v>2009/10</c:v>
                </c:pt>
                <c:pt idx="1">
                  <c:v>2010/11</c:v>
                </c:pt>
                <c:pt idx="2">
                  <c:v>2011/12</c:v>
                </c:pt>
                <c:pt idx="3">
                  <c:v>2012/13</c:v>
                </c:pt>
                <c:pt idx="4">
                  <c:v>2013/14</c:v>
                </c:pt>
                <c:pt idx="5">
                  <c:v>2014/15</c:v>
                </c:pt>
              </c:strCache>
            </c:strRef>
          </c:cat>
          <c:val>
            <c:numRef>
              <c:f>Sheet1!$C$34:$C$39</c:f>
              <c:numCache>
                <c:formatCode>General</c:formatCode>
                <c:ptCount val="6"/>
                <c:pt idx="0">
                  <c:v>7021398</c:v>
                </c:pt>
                <c:pt idx="1">
                  <c:v>6062425</c:v>
                </c:pt>
                <c:pt idx="2">
                  <c:v>4254712</c:v>
                </c:pt>
                <c:pt idx="3">
                  <c:v>4687158</c:v>
                </c:pt>
                <c:pt idx="4">
                  <c:v>3090933</c:v>
                </c:pt>
                <c:pt idx="5">
                  <c:v>2407950</c:v>
                </c:pt>
              </c:numCache>
            </c:numRef>
          </c:val>
        </c:ser>
        <c:ser>
          <c:idx val="2"/>
          <c:order val="2"/>
          <c:tx>
            <c:strRef>
              <c:f>Sheet1!$D$33</c:f>
              <c:strCache>
                <c:ptCount val="1"/>
                <c:pt idx="0">
                  <c:v>Others</c:v>
                </c:pt>
              </c:strCache>
            </c:strRef>
          </c:tx>
          <c:invertIfNegative val="0"/>
          <c:cat>
            <c:strRef>
              <c:f>Sheet1!$A$34:$A$39</c:f>
              <c:strCache>
                <c:ptCount val="6"/>
                <c:pt idx="0">
                  <c:v>2009/10</c:v>
                </c:pt>
                <c:pt idx="1">
                  <c:v>2010/11</c:v>
                </c:pt>
                <c:pt idx="2">
                  <c:v>2011/12</c:v>
                </c:pt>
                <c:pt idx="3">
                  <c:v>2012/13</c:v>
                </c:pt>
                <c:pt idx="4">
                  <c:v>2013/14</c:v>
                </c:pt>
                <c:pt idx="5">
                  <c:v>2014/15</c:v>
                </c:pt>
              </c:strCache>
            </c:strRef>
          </c:cat>
          <c:val>
            <c:numRef>
              <c:f>Sheet1!$D$34:$D$39</c:f>
              <c:numCache>
                <c:formatCode>General</c:formatCode>
                <c:ptCount val="6"/>
                <c:pt idx="0">
                  <c:v>1676872</c:v>
                </c:pt>
                <c:pt idx="1">
                  <c:v>1337491</c:v>
                </c:pt>
                <c:pt idx="2">
                  <c:v>1612450</c:v>
                </c:pt>
                <c:pt idx="3">
                  <c:v>1186695</c:v>
                </c:pt>
                <c:pt idx="4">
                  <c:v>566175</c:v>
                </c:pt>
                <c:pt idx="5">
                  <c:v>610825</c:v>
                </c:pt>
              </c:numCache>
            </c:numRef>
          </c:val>
        </c:ser>
        <c:ser>
          <c:idx val="3"/>
          <c:order val="3"/>
          <c:tx>
            <c:strRef>
              <c:f>Sheet1!$E$33</c:f>
              <c:strCache>
                <c:ptCount val="1"/>
                <c:pt idx="0">
                  <c:v>Newsprint</c:v>
                </c:pt>
              </c:strCache>
            </c:strRef>
          </c:tx>
          <c:invertIfNegative val="0"/>
          <c:cat>
            <c:strRef>
              <c:f>Sheet1!$A$34:$A$39</c:f>
              <c:strCache>
                <c:ptCount val="6"/>
                <c:pt idx="0">
                  <c:v>2009/10</c:v>
                </c:pt>
                <c:pt idx="1">
                  <c:v>2010/11</c:v>
                </c:pt>
                <c:pt idx="2">
                  <c:v>2011/12</c:v>
                </c:pt>
                <c:pt idx="3">
                  <c:v>2012/13</c:v>
                </c:pt>
                <c:pt idx="4">
                  <c:v>2013/14</c:v>
                </c:pt>
                <c:pt idx="5">
                  <c:v>2014/15</c:v>
                </c:pt>
              </c:strCache>
            </c:strRef>
          </c:cat>
          <c:val>
            <c:numRef>
              <c:f>Sheet1!$E$34:$E$39</c:f>
              <c:numCache>
                <c:formatCode>General</c:formatCode>
                <c:ptCount val="6"/>
                <c:pt idx="0">
                  <c:v>25028000</c:v>
                </c:pt>
                <c:pt idx="1">
                  <c:v>22876000</c:v>
                </c:pt>
                <c:pt idx="2">
                  <c:v>13400000</c:v>
                </c:pt>
                <c:pt idx="3">
                  <c:v>6720400</c:v>
                </c:pt>
                <c:pt idx="4">
                  <c:v>13942000</c:v>
                </c:pt>
                <c:pt idx="5">
                  <c:v>10660000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7577088"/>
        <c:axId val="37578624"/>
      </c:barChart>
      <c:catAx>
        <c:axId val="37577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7578624"/>
        <c:crosses val="autoZero"/>
        <c:auto val="1"/>
        <c:lblAlgn val="ctr"/>
        <c:lblOffset val="100"/>
        <c:noMultiLvlLbl val="0"/>
      </c:catAx>
      <c:valAx>
        <c:axId val="37578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577088"/>
        <c:crosses val="autoZero"/>
        <c:crossBetween val="between"/>
        <c:dispUnits>
          <c:builtInUnit val="millions"/>
          <c:dispUnitsLbl>
            <c:layout>
              <c:manualLayout>
                <c:xMode val="edge"/>
                <c:yMode val="edge"/>
                <c:x val="9.442870632672332E-3"/>
                <c:y val="0.21799063910114683"/>
              </c:manualLayout>
            </c:layout>
            <c:tx>
              <c:rich>
                <a:bodyPr/>
                <a:lstStyle/>
                <a:p>
                  <a:pPr>
                    <a:defRPr/>
                  </a:pPr>
                  <a:r>
                    <a:rPr lang="en-GB"/>
                    <a:t>Millions of A4 Sheets Equivalent</a:t>
                  </a:r>
                </a:p>
              </c:rich>
            </c:tx>
          </c:dispUnitsLbl>
        </c:dispUnits>
      </c:valAx>
    </c:plotArea>
    <c:legend>
      <c:legendPos val="r"/>
      <c:layout>
        <c:manualLayout>
          <c:xMode val="edge"/>
          <c:yMode val="edge"/>
          <c:x val="0.71024735544420592"/>
          <c:y val="0.35276066322525396"/>
          <c:w val="0.26756668392229516"/>
          <c:h val="0.2913661774151342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845500793882247"/>
          <c:y val="4.6188321857936566E-2"/>
          <c:w val="0.84342001231327568"/>
          <c:h val="0.69094075240594921"/>
        </c:manualLayout>
      </c:layout>
      <c:lineChart>
        <c:grouping val="standard"/>
        <c:varyColors val="0"/>
        <c:ser>
          <c:idx val="0"/>
          <c:order val="0"/>
          <c:tx>
            <c:strRef>
              <c:f>Scope!$B$48</c:f>
              <c:strCache>
                <c:ptCount val="1"/>
                <c:pt idx="0">
                  <c:v>Actual emissions</c:v>
                </c:pt>
              </c:strCache>
            </c:strRef>
          </c:tx>
          <c:spPr>
            <a:ln w="25400">
              <a:solidFill>
                <a:srgbClr val="0000FF"/>
              </a:solidFill>
            </a:ln>
          </c:spPr>
          <c:marker>
            <c:symbol val="none"/>
          </c:marker>
          <c:trendline>
            <c:name>Current trajectory</c:name>
            <c:spPr>
              <a:ln w="25400">
                <a:solidFill>
                  <a:schemeClr val="tx1">
                    <a:lumMod val="75000"/>
                    <a:lumOff val="25000"/>
                  </a:schemeClr>
                </a:solidFill>
                <a:prstDash val="dash"/>
              </a:ln>
            </c:spPr>
            <c:trendlineType val="linear"/>
            <c:forward val="9"/>
            <c:dispRSqr val="0"/>
            <c:dispEq val="0"/>
          </c:trendline>
          <c:cat>
            <c:strRef>
              <c:f>Scope!$D$47:$U$47</c:f>
              <c:strCache>
                <c:ptCount val="18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  <c:pt idx="3">
                  <c:v>2011/12</c:v>
                </c:pt>
                <c:pt idx="4">
                  <c:v>2012/13</c:v>
                </c:pt>
                <c:pt idx="5">
                  <c:v>2013/14</c:v>
                </c:pt>
                <c:pt idx="6">
                  <c:v>2014/15</c:v>
                </c:pt>
                <c:pt idx="7">
                  <c:v>2015/16</c:v>
                </c:pt>
                <c:pt idx="8">
                  <c:v>2016/17</c:v>
                </c:pt>
                <c:pt idx="9">
                  <c:v>2017/18</c:v>
                </c:pt>
                <c:pt idx="10">
                  <c:v>2018/19</c:v>
                </c:pt>
                <c:pt idx="11">
                  <c:v>2019/20</c:v>
                </c:pt>
                <c:pt idx="12">
                  <c:v>2020/21</c:v>
                </c:pt>
                <c:pt idx="13">
                  <c:v>2021/22</c:v>
                </c:pt>
                <c:pt idx="14">
                  <c:v>2022/23</c:v>
                </c:pt>
                <c:pt idx="15">
                  <c:v>2023/24</c:v>
                </c:pt>
                <c:pt idx="16">
                  <c:v>2024/25</c:v>
                </c:pt>
                <c:pt idx="17">
                  <c:v>2025/26</c:v>
                </c:pt>
              </c:strCache>
            </c:strRef>
          </c:cat>
          <c:val>
            <c:numRef>
              <c:f>Scope!$D$48:$L$48</c:f>
              <c:numCache>
                <c:formatCode>#,##0</c:formatCode>
                <c:ptCount val="9"/>
                <c:pt idx="0">
                  <c:v>67732.219999999987</c:v>
                </c:pt>
                <c:pt idx="1">
                  <c:v>66699.44</c:v>
                </c:pt>
                <c:pt idx="2">
                  <c:v>67654.41</c:v>
                </c:pt>
                <c:pt idx="3">
                  <c:v>61437.599999999999</c:v>
                </c:pt>
                <c:pt idx="4">
                  <c:v>65516.83</c:v>
                </c:pt>
                <c:pt idx="5">
                  <c:v>62332.97</c:v>
                </c:pt>
                <c:pt idx="6">
                  <c:v>59247.310000000005</c:v>
                </c:pt>
                <c:pt idx="7">
                  <c:v>51567.313331337988</c:v>
                </c:pt>
                <c:pt idx="8">
                  <c:v>47676.234990000004</c:v>
                </c:pt>
              </c:numCache>
            </c:numRef>
          </c:val>
          <c:smooth val="0"/>
        </c:ser>
        <c:ser>
          <c:idx val="1"/>
          <c:order val="1"/>
          <c:tx>
            <c:v>Target emissions</c:v>
          </c:tx>
          <c:spPr>
            <a:ln w="25400" cap="flat">
              <a:solidFill>
                <a:schemeClr val="accent2"/>
              </a:solidFill>
              <a:prstDash val="sysDash"/>
              <a:miter lim="800000"/>
            </a:ln>
          </c:spPr>
          <c:marker>
            <c:symbol val="none"/>
          </c:marker>
          <c:cat>
            <c:strRef>
              <c:f>Scope!$D$47:$U$47</c:f>
              <c:strCache>
                <c:ptCount val="18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  <c:pt idx="3">
                  <c:v>2011/12</c:v>
                </c:pt>
                <c:pt idx="4">
                  <c:v>2012/13</c:v>
                </c:pt>
                <c:pt idx="5">
                  <c:v>2013/14</c:v>
                </c:pt>
                <c:pt idx="6">
                  <c:v>2014/15</c:v>
                </c:pt>
                <c:pt idx="7">
                  <c:v>2015/16</c:v>
                </c:pt>
                <c:pt idx="8">
                  <c:v>2016/17</c:v>
                </c:pt>
                <c:pt idx="9">
                  <c:v>2017/18</c:v>
                </c:pt>
                <c:pt idx="10">
                  <c:v>2018/19</c:v>
                </c:pt>
                <c:pt idx="11">
                  <c:v>2019/20</c:v>
                </c:pt>
                <c:pt idx="12">
                  <c:v>2020/21</c:v>
                </c:pt>
                <c:pt idx="13">
                  <c:v>2021/22</c:v>
                </c:pt>
                <c:pt idx="14">
                  <c:v>2022/23</c:v>
                </c:pt>
                <c:pt idx="15">
                  <c:v>2023/24</c:v>
                </c:pt>
                <c:pt idx="16">
                  <c:v>2024/25</c:v>
                </c:pt>
                <c:pt idx="17">
                  <c:v>2025/26</c:v>
                </c:pt>
              </c:strCache>
            </c:strRef>
          </c:cat>
          <c:val>
            <c:numRef>
              <c:f>Scope!$D$54:$U$54</c:f>
              <c:numCache>
                <c:formatCode>0</c:formatCode>
                <c:ptCount val="18"/>
                <c:pt idx="0">
                  <c:v>67732.219999999987</c:v>
                </c:pt>
                <c:pt idx="1">
                  <c:v>65740.095882352922</c:v>
                </c:pt>
                <c:pt idx="2">
                  <c:v>63747.971764705864</c:v>
                </c:pt>
                <c:pt idx="3">
                  <c:v>61755.847647058807</c:v>
                </c:pt>
                <c:pt idx="4">
                  <c:v>59763.723529411749</c:v>
                </c:pt>
                <c:pt idx="5">
                  <c:v>57771.599411764691</c:v>
                </c:pt>
                <c:pt idx="6">
                  <c:v>55779.475294117634</c:v>
                </c:pt>
                <c:pt idx="7">
                  <c:v>53787.351176470576</c:v>
                </c:pt>
                <c:pt idx="8">
                  <c:v>51795.227058823519</c:v>
                </c:pt>
                <c:pt idx="9">
                  <c:v>49803.102941176461</c:v>
                </c:pt>
                <c:pt idx="10">
                  <c:v>47810.978823529404</c:v>
                </c:pt>
                <c:pt idx="11">
                  <c:v>45818.854705882346</c:v>
                </c:pt>
                <c:pt idx="12">
                  <c:v>43826.730588235288</c:v>
                </c:pt>
                <c:pt idx="13">
                  <c:v>41834.606470588231</c:v>
                </c:pt>
                <c:pt idx="14">
                  <c:v>39842.482352941173</c:v>
                </c:pt>
                <c:pt idx="15">
                  <c:v>37850.358235294116</c:v>
                </c:pt>
                <c:pt idx="16">
                  <c:v>35858.234117647058</c:v>
                </c:pt>
                <c:pt idx="17">
                  <c:v>33866.11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596544"/>
        <c:axId val="142714368"/>
      </c:lineChart>
      <c:catAx>
        <c:axId val="375965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Financial year</a:t>
                </a:r>
              </a:p>
            </c:rich>
          </c:tx>
          <c:layout>
            <c:manualLayout>
              <c:xMode val="edge"/>
              <c:yMode val="edge"/>
              <c:x val="0.48611143514468097"/>
              <c:y val="0.88189872265966751"/>
            </c:manualLayout>
          </c:layout>
          <c:overlay val="0"/>
        </c:title>
        <c:numFmt formatCode="d\.m\.yy;@" sourceLinked="1"/>
        <c:majorTickMark val="out"/>
        <c:minorTickMark val="none"/>
        <c:tickLblPos val="nextTo"/>
        <c:crossAx val="142714368"/>
        <c:crosses val="autoZero"/>
        <c:auto val="1"/>
        <c:lblAlgn val="ctr"/>
        <c:lblOffset val="100"/>
        <c:noMultiLvlLbl val="1"/>
      </c:catAx>
      <c:valAx>
        <c:axId val="142714368"/>
        <c:scaling>
          <c:orientation val="minMax"/>
          <c:max val="7000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 b="1"/>
                  <a:t>Carbon </a:t>
                </a:r>
                <a:r>
                  <a:rPr lang="en-GB" b="1" baseline="0"/>
                  <a:t>emissions (tCO</a:t>
                </a:r>
                <a:r>
                  <a:rPr lang="en-GB" b="1" baseline="-25000"/>
                  <a:t>2</a:t>
                </a:r>
                <a:r>
                  <a:rPr lang="en-GB" b="1" baseline="0"/>
                  <a:t>e)</a:t>
                </a:r>
                <a:endParaRPr lang="en-GB" b="1"/>
              </a:p>
            </c:rich>
          </c:tx>
          <c:layout>
            <c:manualLayout>
              <c:xMode val="edge"/>
              <c:yMode val="edge"/>
              <c:x val="1.1592818551660077E-2"/>
              <c:y val="0.21862882903127429"/>
            </c:manualLayout>
          </c:layout>
          <c:overlay val="0"/>
        </c:title>
        <c:numFmt formatCode="#,##0" sourceLinked="1"/>
        <c:majorTickMark val="out"/>
        <c:minorTickMark val="out"/>
        <c:tickLblPos val="nextTo"/>
        <c:crossAx val="37596544"/>
        <c:crosses val="autoZero"/>
        <c:crossBetween val="between"/>
        <c:majorUnit val="10000"/>
        <c:minorUnit val="5000"/>
      </c:valAx>
    </c:plotArea>
    <c:legend>
      <c:legendPos val="b"/>
      <c:layout>
        <c:manualLayout>
          <c:xMode val="edge"/>
          <c:yMode val="edge"/>
          <c:x val="0.17433200479569683"/>
          <c:y val="0.93570519685039366"/>
          <c:w val="0.75010142250737177"/>
          <c:h val="6.4294803149606297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8F967-7905-4BF4-91C4-858CA518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Bell</dc:creator>
  <cp:lastModifiedBy>Tracy Loach</cp:lastModifiedBy>
  <cp:revision>5</cp:revision>
  <cp:lastPrinted>2018-01-10T14:38:00Z</cp:lastPrinted>
  <dcterms:created xsi:type="dcterms:W3CDTF">2018-01-22T14:52:00Z</dcterms:created>
  <dcterms:modified xsi:type="dcterms:W3CDTF">2018-01-22T15:17:00Z</dcterms:modified>
</cp:coreProperties>
</file>