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F9AA1" w14:textId="77777777" w:rsidR="003C5A1D" w:rsidRPr="005A2643" w:rsidRDefault="005A2643" w:rsidP="005A2643">
      <w:pPr>
        <w:tabs>
          <w:tab w:val="left" w:pos="1134"/>
        </w:tabs>
        <w:rPr>
          <w:rFonts w:ascii="Arial" w:hAnsi="Arial" w:cs="Arial"/>
          <w:color w:val="0000FF"/>
          <w:sz w:val="24"/>
          <w:szCs w:val="24"/>
        </w:rPr>
      </w:pPr>
      <w:r w:rsidRPr="005A2643">
        <w:rPr>
          <w:rFonts w:ascii="Arial" w:hAnsi="Arial" w:cs="Arial"/>
          <w:color w:val="0000FF"/>
          <w:sz w:val="24"/>
          <w:szCs w:val="24"/>
        </w:rPr>
        <w:t>FOIA 20432 - Urban Planning</w:t>
      </w:r>
    </w:p>
    <w:tbl>
      <w:tblPr>
        <w:tblW w:w="0" w:type="auto"/>
        <w:tblCellMar>
          <w:left w:w="0" w:type="dxa"/>
          <w:right w:w="0" w:type="dxa"/>
        </w:tblCellMar>
        <w:tblLook w:val="04A0" w:firstRow="1" w:lastRow="0" w:firstColumn="1" w:lastColumn="0" w:noHBand="0" w:noVBand="1"/>
      </w:tblPr>
      <w:tblGrid>
        <w:gridCol w:w="6319"/>
        <w:gridCol w:w="2687"/>
      </w:tblGrid>
      <w:tr w:rsidR="005A2643" w:rsidRPr="005A2643" w14:paraId="2FEF72F7" w14:textId="77777777" w:rsidTr="00BD0E41">
        <w:tc>
          <w:tcPr>
            <w:tcW w:w="63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1C0A4C" w14:textId="77777777" w:rsidR="005A2643" w:rsidRPr="005A2643" w:rsidRDefault="005A2643" w:rsidP="001B78FD">
            <w:pPr>
              <w:pStyle w:val="ListParagraph"/>
              <w:numPr>
                <w:ilvl w:val="0"/>
                <w:numId w:val="1"/>
              </w:numPr>
              <w:ind w:left="447" w:hanging="283"/>
              <w:rPr>
                <w:rFonts w:ascii="Arial" w:eastAsia="Times New Roman" w:hAnsi="Arial" w:cs="Arial"/>
                <w:sz w:val="24"/>
                <w:szCs w:val="24"/>
              </w:rPr>
            </w:pPr>
            <w:r w:rsidRPr="005A2643">
              <w:rPr>
                <w:rFonts w:ascii="Arial" w:eastAsia="Times New Roman" w:hAnsi="Arial" w:cs="Arial"/>
                <w:sz w:val="24"/>
                <w:szCs w:val="24"/>
              </w:rPr>
              <w:t xml:space="preserve">How many planning applications have you received? </w:t>
            </w:r>
          </w:p>
        </w:tc>
        <w:tc>
          <w:tcPr>
            <w:tcW w:w="268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8C3F089" w14:textId="77777777" w:rsidR="005A2643" w:rsidRPr="005A2643" w:rsidRDefault="005A2643" w:rsidP="002D5245">
            <w:pPr>
              <w:rPr>
                <w:rFonts w:ascii="Arial" w:hAnsi="Arial" w:cs="Arial"/>
                <w:sz w:val="24"/>
                <w:szCs w:val="24"/>
              </w:rPr>
            </w:pPr>
            <w:r w:rsidRPr="005A2643">
              <w:rPr>
                <w:rFonts w:ascii="Arial" w:hAnsi="Arial" w:cs="Arial"/>
                <w:color w:val="0000FF"/>
                <w:sz w:val="24"/>
                <w:szCs w:val="24"/>
              </w:rPr>
              <w:t>5268</w:t>
            </w:r>
          </w:p>
        </w:tc>
      </w:tr>
      <w:tr w:rsidR="005A2643" w:rsidRPr="005A2643" w14:paraId="7E44D0B6" w14:textId="77777777" w:rsidTr="00BD0E41">
        <w:tc>
          <w:tcPr>
            <w:tcW w:w="6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A343E" w14:textId="77777777" w:rsidR="005A2643" w:rsidRPr="005A2643" w:rsidRDefault="005A2643" w:rsidP="001B78FD">
            <w:pPr>
              <w:pStyle w:val="ListParagraph"/>
              <w:numPr>
                <w:ilvl w:val="0"/>
                <w:numId w:val="1"/>
              </w:numPr>
              <w:ind w:left="447" w:hanging="283"/>
              <w:rPr>
                <w:rFonts w:ascii="Arial" w:eastAsia="Times New Roman" w:hAnsi="Arial" w:cs="Arial"/>
                <w:sz w:val="24"/>
                <w:szCs w:val="24"/>
              </w:rPr>
            </w:pPr>
            <w:r w:rsidRPr="005A2643">
              <w:rPr>
                <w:rFonts w:ascii="Arial" w:eastAsia="Times New Roman" w:hAnsi="Arial" w:cs="Arial"/>
                <w:sz w:val="24"/>
                <w:szCs w:val="24"/>
              </w:rPr>
              <w:t xml:space="preserve">How many planning applications have you validated?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5852DF13" w14:textId="77777777" w:rsidR="005A2643" w:rsidRPr="005A2643" w:rsidRDefault="005A2643" w:rsidP="002D5245">
            <w:pPr>
              <w:rPr>
                <w:rFonts w:ascii="Arial" w:hAnsi="Arial" w:cs="Arial"/>
                <w:sz w:val="24"/>
                <w:szCs w:val="24"/>
              </w:rPr>
            </w:pPr>
            <w:r w:rsidRPr="005A2643">
              <w:rPr>
                <w:rFonts w:ascii="Arial" w:hAnsi="Arial" w:cs="Arial"/>
                <w:color w:val="0000FF"/>
                <w:sz w:val="24"/>
                <w:szCs w:val="24"/>
              </w:rPr>
              <w:t>4915</w:t>
            </w:r>
          </w:p>
        </w:tc>
      </w:tr>
      <w:tr w:rsidR="005A2643" w:rsidRPr="005A2643" w14:paraId="3C676EB9" w14:textId="77777777" w:rsidTr="00BD0E41">
        <w:tc>
          <w:tcPr>
            <w:tcW w:w="6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7DD24" w14:textId="77777777" w:rsidR="005A2643" w:rsidRPr="005A2643" w:rsidRDefault="005A2643" w:rsidP="001B78FD">
            <w:pPr>
              <w:pStyle w:val="ListParagraph"/>
              <w:numPr>
                <w:ilvl w:val="0"/>
                <w:numId w:val="1"/>
              </w:numPr>
              <w:ind w:left="447" w:hanging="283"/>
              <w:rPr>
                <w:rFonts w:ascii="Arial" w:eastAsia="Times New Roman" w:hAnsi="Arial" w:cs="Arial"/>
                <w:sz w:val="24"/>
                <w:szCs w:val="24"/>
              </w:rPr>
            </w:pPr>
            <w:r w:rsidRPr="005A2643">
              <w:rPr>
                <w:rFonts w:ascii="Arial" w:eastAsia="Times New Roman" w:hAnsi="Arial" w:cs="Arial"/>
                <w:sz w:val="24"/>
                <w:szCs w:val="24"/>
              </w:rPr>
              <w:t xml:space="preserve">How many valid developments are not permitted? </w:t>
            </w:r>
          </w:p>
          <w:p w14:paraId="15BB6DD8" w14:textId="77777777" w:rsidR="005A2643" w:rsidRPr="005A2643" w:rsidRDefault="005A2643" w:rsidP="002D5245">
            <w:pPr>
              <w:pStyle w:val="ListParagraph"/>
              <w:numPr>
                <w:ilvl w:val="4"/>
                <w:numId w:val="2"/>
              </w:numPr>
              <w:rPr>
                <w:rFonts w:ascii="Arial" w:eastAsia="Times New Roman" w:hAnsi="Arial" w:cs="Arial"/>
                <w:sz w:val="24"/>
                <w:szCs w:val="24"/>
              </w:rPr>
            </w:pPr>
            <w:r w:rsidRPr="005A2643">
              <w:rPr>
                <w:rFonts w:ascii="Arial" w:eastAsia="Times New Roman" w:hAnsi="Arial" w:cs="Arial"/>
                <w:sz w:val="24"/>
                <w:szCs w:val="24"/>
              </w:rPr>
              <w:t>Refused</w:t>
            </w:r>
          </w:p>
          <w:p w14:paraId="5271C10C" w14:textId="77777777" w:rsidR="005A2643" w:rsidRPr="005A2643" w:rsidRDefault="005A2643" w:rsidP="002D5245">
            <w:pPr>
              <w:pStyle w:val="ListParagraph"/>
              <w:numPr>
                <w:ilvl w:val="4"/>
                <w:numId w:val="2"/>
              </w:numPr>
              <w:rPr>
                <w:rFonts w:ascii="Arial" w:eastAsia="Times New Roman" w:hAnsi="Arial" w:cs="Arial"/>
                <w:sz w:val="24"/>
                <w:szCs w:val="24"/>
              </w:rPr>
            </w:pPr>
            <w:r w:rsidRPr="005A2643">
              <w:rPr>
                <w:rFonts w:ascii="Arial" w:eastAsia="Times New Roman" w:hAnsi="Arial" w:cs="Arial"/>
                <w:sz w:val="24"/>
                <w:szCs w:val="24"/>
              </w:rPr>
              <w:t>Determined</w:t>
            </w:r>
          </w:p>
          <w:p w14:paraId="7107D16F" w14:textId="77777777" w:rsidR="005A2643" w:rsidRPr="005A2643" w:rsidRDefault="005A2643" w:rsidP="002D5245">
            <w:pPr>
              <w:pStyle w:val="ListParagraph"/>
              <w:numPr>
                <w:ilvl w:val="4"/>
                <w:numId w:val="2"/>
              </w:numPr>
              <w:rPr>
                <w:rFonts w:ascii="Arial" w:eastAsia="Times New Roman" w:hAnsi="Arial" w:cs="Arial"/>
                <w:sz w:val="24"/>
                <w:szCs w:val="24"/>
              </w:rPr>
            </w:pPr>
            <w:r w:rsidRPr="005A2643">
              <w:rPr>
                <w:rFonts w:ascii="Arial" w:eastAsia="Times New Roman" w:hAnsi="Arial" w:cs="Arial"/>
                <w:sz w:val="24"/>
                <w:szCs w:val="24"/>
              </w:rPr>
              <w:t>Withdrawn</w:t>
            </w:r>
          </w:p>
          <w:p w14:paraId="53FA74A0" w14:textId="77777777" w:rsidR="005A2643" w:rsidRPr="005A2643" w:rsidRDefault="005A2643" w:rsidP="002D5245">
            <w:pPr>
              <w:pStyle w:val="ListParagraph"/>
              <w:numPr>
                <w:ilvl w:val="4"/>
                <w:numId w:val="2"/>
              </w:numPr>
              <w:rPr>
                <w:rFonts w:ascii="Arial" w:eastAsia="Times New Roman" w:hAnsi="Arial" w:cs="Arial"/>
                <w:sz w:val="24"/>
                <w:szCs w:val="24"/>
              </w:rPr>
            </w:pPr>
            <w:r w:rsidRPr="005A2643">
              <w:rPr>
                <w:rFonts w:ascii="Arial" w:eastAsia="Times New Roman" w:hAnsi="Arial" w:cs="Arial"/>
                <w:sz w:val="24"/>
                <w:szCs w:val="24"/>
              </w:rPr>
              <w:t>Other</w:t>
            </w:r>
          </w:p>
          <w:p w14:paraId="4A590E24" w14:textId="77777777" w:rsidR="005A2643" w:rsidRPr="005A2643" w:rsidRDefault="005A2643" w:rsidP="002D5245">
            <w:pPr>
              <w:pStyle w:val="ListParagraph"/>
              <w:numPr>
                <w:ilvl w:val="4"/>
                <w:numId w:val="2"/>
              </w:numPr>
              <w:rPr>
                <w:rFonts w:ascii="Arial" w:eastAsia="Times New Roman" w:hAnsi="Arial" w:cs="Arial"/>
                <w:sz w:val="24"/>
                <w:szCs w:val="24"/>
              </w:rPr>
            </w:pPr>
            <w:r w:rsidRPr="005A2643">
              <w:rPr>
                <w:rFonts w:ascii="Arial" w:eastAsia="Times New Roman" w:hAnsi="Arial" w:cs="Arial"/>
                <w:sz w:val="24"/>
                <w:szCs w:val="24"/>
              </w:rPr>
              <w:t>Not determined yet</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14:paraId="55806A1F" w14:textId="77777777" w:rsidR="005A2643" w:rsidRPr="005A2643" w:rsidRDefault="005A2643" w:rsidP="005A2643">
            <w:pPr>
              <w:spacing w:after="0" w:line="240" w:lineRule="auto"/>
              <w:rPr>
                <w:rFonts w:ascii="Arial" w:hAnsi="Arial" w:cs="Arial"/>
                <w:color w:val="0000FF"/>
                <w:sz w:val="24"/>
                <w:szCs w:val="24"/>
              </w:rPr>
            </w:pPr>
          </w:p>
          <w:p w14:paraId="3A740872" w14:textId="77777777" w:rsidR="005A2643" w:rsidRPr="005A2643" w:rsidRDefault="005A2643" w:rsidP="005A2643">
            <w:pPr>
              <w:spacing w:after="0" w:line="240" w:lineRule="auto"/>
              <w:rPr>
                <w:rFonts w:ascii="Arial" w:hAnsi="Arial" w:cs="Arial"/>
                <w:color w:val="0000FF"/>
                <w:sz w:val="24"/>
                <w:szCs w:val="24"/>
              </w:rPr>
            </w:pPr>
            <w:r w:rsidRPr="005A2643">
              <w:rPr>
                <w:rFonts w:ascii="Arial" w:hAnsi="Arial" w:cs="Arial"/>
                <w:color w:val="0000FF"/>
                <w:sz w:val="24"/>
                <w:szCs w:val="24"/>
              </w:rPr>
              <w:t>391</w:t>
            </w:r>
          </w:p>
          <w:p w14:paraId="1074C772" w14:textId="77777777" w:rsidR="005A2643" w:rsidRPr="005A2643" w:rsidRDefault="005A2643" w:rsidP="005A2643">
            <w:pPr>
              <w:spacing w:after="0" w:line="240" w:lineRule="auto"/>
              <w:rPr>
                <w:rFonts w:ascii="Arial" w:hAnsi="Arial" w:cs="Arial"/>
                <w:color w:val="0000FF"/>
                <w:sz w:val="24"/>
                <w:szCs w:val="24"/>
              </w:rPr>
            </w:pPr>
            <w:r w:rsidRPr="005A2643">
              <w:rPr>
                <w:rFonts w:ascii="Arial" w:hAnsi="Arial" w:cs="Arial"/>
                <w:color w:val="0000FF"/>
                <w:sz w:val="24"/>
                <w:szCs w:val="24"/>
              </w:rPr>
              <w:t>3390</w:t>
            </w:r>
          </w:p>
          <w:p w14:paraId="6B142592" w14:textId="77777777" w:rsidR="005A2643" w:rsidRPr="005A2643" w:rsidRDefault="005A2643" w:rsidP="005A2643">
            <w:pPr>
              <w:spacing w:after="0" w:line="240" w:lineRule="auto"/>
              <w:rPr>
                <w:rFonts w:ascii="Arial" w:hAnsi="Arial" w:cs="Arial"/>
                <w:color w:val="0000FF"/>
                <w:sz w:val="24"/>
                <w:szCs w:val="24"/>
              </w:rPr>
            </w:pPr>
            <w:r w:rsidRPr="005A2643">
              <w:rPr>
                <w:rFonts w:ascii="Arial" w:hAnsi="Arial" w:cs="Arial"/>
                <w:color w:val="0000FF"/>
                <w:sz w:val="24"/>
                <w:szCs w:val="24"/>
              </w:rPr>
              <w:t>422</w:t>
            </w:r>
          </w:p>
          <w:p w14:paraId="7EF244FA" w14:textId="77777777" w:rsidR="005A2643" w:rsidRPr="005A2643" w:rsidRDefault="005A2643" w:rsidP="005A2643">
            <w:pPr>
              <w:spacing w:after="0" w:line="240" w:lineRule="auto"/>
              <w:rPr>
                <w:rFonts w:ascii="Arial" w:hAnsi="Arial" w:cs="Arial"/>
                <w:color w:val="0000FF"/>
                <w:sz w:val="24"/>
                <w:szCs w:val="24"/>
              </w:rPr>
            </w:pPr>
            <w:r w:rsidRPr="005A2643">
              <w:rPr>
                <w:rFonts w:ascii="Arial" w:hAnsi="Arial" w:cs="Arial"/>
                <w:color w:val="0000FF"/>
                <w:sz w:val="24"/>
                <w:szCs w:val="24"/>
              </w:rPr>
              <w:t>416</w:t>
            </w:r>
          </w:p>
          <w:p w14:paraId="2F4D1D3D" w14:textId="77777777" w:rsidR="005A2643" w:rsidRPr="005A2643" w:rsidRDefault="005A2643" w:rsidP="005A2643">
            <w:pPr>
              <w:spacing w:after="0" w:line="240" w:lineRule="auto"/>
            </w:pPr>
            <w:r w:rsidRPr="005A2643">
              <w:rPr>
                <w:rFonts w:ascii="Arial" w:hAnsi="Arial" w:cs="Arial"/>
                <w:color w:val="0000FF"/>
                <w:sz w:val="24"/>
                <w:szCs w:val="24"/>
              </w:rPr>
              <w:t>296</w:t>
            </w:r>
          </w:p>
        </w:tc>
      </w:tr>
      <w:tr w:rsidR="005A2643" w:rsidRPr="005A2643" w14:paraId="7E155CE6" w14:textId="77777777" w:rsidTr="00BD0E41">
        <w:tc>
          <w:tcPr>
            <w:tcW w:w="6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F8692" w14:textId="77777777" w:rsidR="005A2643" w:rsidRPr="005A2643" w:rsidRDefault="005A2643" w:rsidP="001B78FD">
            <w:pPr>
              <w:pStyle w:val="ListParagraph"/>
              <w:numPr>
                <w:ilvl w:val="0"/>
                <w:numId w:val="1"/>
              </w:numPr>
              <w:ind w:left="447" w:hanging="283"/>
              <w:rPr>
                <w:rFonts w:ascii="Arial" w:eastAsia="Times New Roman" w:hAnsi="Arial" w:cs="Arial"/>
                <w:sz w:val="24"/>
                <w:szCs w:val="24"/>
              </w:rPr>
            </w:pPr>
            <w:r w:rsidRPr="005A2643">
              <w:rPr>
                <w:rFonts w:ascii="Arial" w:eastAsia="Times New Roman" w:hAnsi="Arial" w:cs="Arial"/>
                <w:sz w:val="24"/>
                <w:szCs w:val="24"/>
              </w:rPr>
              <w:t xml:space="preserve">How many valid applications do you request more information from?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59AA874C" w14:textId="77777777" w:rsidR="005A2643" w:rsidRPr="005A2643" w:rsidRDefault="009D0710" w:rsidP="002D5245">
            <w:pPr>
              <w:rPr>
                <w:rFonts w:ascii="Arial" w:hAnsi="Arial" w:cs="Arial"/>
                <w:sz w:val="24"/>
                <w:szCs w:val="24"/>
              </w:rPr>
            </w:pPr>
            <w:r>
              <w:rPr>
                <w:rFonts w:ascii="Arial" w:hAnsi="Arial" w:cs="Arial"/>
                <w:color w:val="0000FF"/>
                <w:sz w:val="24"/>
                <w:szCs w:val="24"/>
              </w:rPr>
              <w:t>*</w:t>
            </w:r>
            <w:r w:rsidR="005A2643" w:rsidRPr="005A2643">
              <w:rPr>
                <w:rFonts w:ascii="Arial" w:hAnsi="Arial" w:cs="Arial"/>
                <w:color w:val="0000FF"/>
                <w:sz w:val="24"/>
                <w:szCs w:val="24"/>
              </w:rPr>
              <w:t xml:space="preserve">This information cannot be reliably collated as it is not recorded on the database. </w:t>
            </w:r>
          </w:p>
        </w:tc>
      </w:tr>
      <w:tr w:rsidR="005A2643" w:rsidRPr="005A2643" w14:paraId="439FDB47" w14:textId="77777777" w:rsidTr="00BD0E41">
        <w:tc>
          <w:tcPr>
            <w:tcW w:w="6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9F225" w14:textId="77777777" w:rsidR="005A2643" w:rsidRPr="005A2643" w:rsidRDefault="005A2643" w:rsidP="001B78FD">
            <w:pPr>
              <w:pStyle w:val="ListParagraph"/>
              <w:numPr>
                <w:ilvl w:val="0"/>
                <w:numId w:val="1"/>
              </w:numPr>
              <w:ind w:left="447" w:hanging="283"/>
              <w:rPr>
                <w:rFonts w:ascii="Arial" w:eastAsia="Times New Roman" w:hAnsi="Arial" w:cs="Arial"/>
                <w:sz w:val="24"/>
                <w:szCs w:val="24"/>
              </w:rPr>
            </w:pPr>
            <w:r w:rsidRPr="005A2643">
              <w:rPr>
                <w:rFonts w:ascii="Arial" w:eastAsia="Times New Roman" w:hAnsi="Arial" w:cs="Arial"/>
                <w:sz w:val="24"/>
                <w:szCs w:val="24"/>
              </w:rPr>
              <w:t>On average how long does it take you to process each application? (From validation to determination)</w:t>
            </w:r>
          </w:p>
          <w:p w14:paraId="70EB4264" w14:textId="77777777" w:rsidR="005A2643" w:rsidRPr="005A2643" w:rsidRDefault="005A2643" w:rsidP="002D5245">
            <w:pPr>
              <w:pStyle w:val="ListParagraph"/>
              <w:numPr>
                <w:ilvl w:val="0"/>
                <w:numId w:val="3"/>
              </w:numPr>
              <w:rPr>
                <w:rFonts w:ascii="Arial" w:eastAsia="Times New Roman" w:hAnsi="Arial" w:cs="Arial"/>
                <w:sz w:val="24"/>
                <w:szCs w:val="24"/>
              </w:rPr>
            </w:pPr>
            <w:r w:rsidRPr="005A2643">
              <w:rPr>
                <w:rFonts w:ascii="Arial" w:eastAsia="Times New Roman" w:hAnsi="Arial" w:cs="Arial"/>
                <w:sz w:val="24"/>
                <w:szCs w:val="24"/>
              </w:rPr>
              <w:t>Refused</w:t>
            </w:r>
          </w:p>
          <w:p w14:paraId="0C5EE513" w14:textId="77777777" w:rsidR="005A2643" w:rsidRPr="005A2643" w:rsidRDefault="005A2643" w:rsidP="002D5245">
            <w:pPr>
              <w:pStyle w:val="ListParagraph"/>
              <w:numPr>
                <w:ilvl w:val="0"/>
                <w:numId w:val="3"/>
              </w:numPr>
              <w:rPr>
                <w:rFonts w:ascii="Arial" w:eastAsia="Times New Roman" w:hAnsi="Arial" w:cs="Arial"/>
                <w:sz w:val="24"/>
                <w:szCs w:val="24"/>
              </w:rPr>
            </w:pPr>
            <w:r w:rsidRPr="005A2643">
              <w:rPr>
                <w:rFonts w:ascii="Arial" w:eastAsia="Times New Roman" w:hAnsi="Arial" w:cs="Arial"/>
                <w:sz w:val="24"/>
                <w:szCs w:val="24"/>
              </w:rPr>
              <w:t>Determined</w:t>
            </w:r>
          </w:p>
          <w:p w14:paraId="2F86CF5D" w14:textId="77777777" w:rsidR="005A2643" w:rsidRPr="005A2643" w:rsidRDefault="005A2643" w:rsidP="002D5245">
            <w:pPr>
              <w:pStyle w:val="ListParagraph"/>
              <w:numPr>
                <w:ilvl w:val="0"/>
                <w:numId w:val="3"/>
              </w:numPr>
              <w:rPr>
                <w:rFonts w:ascii="Arial" w:eastAsia="Times New Roman" w:hAnsi="Arial" w:cs="Arial"/>
                <w:sz w:val="24"/>
                <w:szCs w:val="24"/>
              </w:rPr>
            </w:pPr>
            <w:r w:rsidRPr="005A2643">
              <w:rPr>
                <w:rFonts w:ascii="Arial" w:eastAsia="Times New Roman" w:hAnsi="Arial" w:cs="Arial"/>
                <w:sz w:val="24"/>
                <w:szCs w:val="24"/>
              </w:rPr>
              <w:t>Withdrawn</w:t>
            </w:r>
          </w:p>
          <w:p w14:paraId="61CDE4DF" w14:textId="77777777" w:rsidR="005A2643" w:rsidRPr="005A2643" w:rsidRDefault="005A2643" w:rsidP="002D5245">
            <w:pPr>
              <w:pStyle w:val="ListParagraph"/>
              <w:numPr>
                <w:ilvl w:val="0"/>
                <w:numId w:val="3"/>
              </w:numPr>
              <w:rPr>
                <w:rFonts w:ascii="Arial" w:eastAsia="Times New Roman" w:hAnsi="Arial" w:cs="Arial"/>
                <w:sz w:val="24"/>
                <w:szCs w:val="24"/>
              </w:rPr>
            </w:pPr>
            <w:r w:rsidRPr="005A2643">
              <w:rPr>
                <w:rFonts w:ascii="Arial" w:eastAsia="Times New Roman" w:hAnsi="Arial" w:cs="Arial"/>
                <w:sz w:val="24"/>
                <w:szCs w:val="24"/>
              </w:rPr>
              <w:t>Other</w:t>
            </w:r>
          </w:p>
          <w:p w14:paraId="32D220CB" w14:textId="77777777" w:rsidR="005A2643" w:rsidRPr="005A2643" w:rsidRDefault="005A2643" w:rsidP="002D5245">
            <w:pPr>
              <w:pStyle w:val="ListParagraph"/>
              <w:numPr>
                <w:ilvl w:val="0"/>
                <w:numId w:val="3"/>
              </w:numPr>
              <w:rPr>
                <w:rFonts w:ascii="Arial" w:eastAsia="Times New Roman" w:hAnsi="Arial" w:cs="Arial"/>
                <w:b/>
                <w:bCs/>
                <w:sz w:val="24"/>
                <w:szCs w:val="24"/>
              </w:rPr>
            </w:pPr>
            <w:r w:rsidRPr="005A2643">
              <w:rPr>
                <w:rFonts w:ascii="Arial" w:eastAsia="Times New Roman" w:hAnsi="Arial" w:cs="Arial"/>
                <w:b/>
                <w:bCs/>
                <w:sz w:val="24"/>
                <w:szCs w:val="24"/>
              </w:rPr>
              <w:t>Overall</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14:paraId="4240E729" w14:textId="77777777" w:rsidR="005A2643" w:rsidRPr="005A2643" w:rsidRDefault="005A2643" w:rsidP="005A2643">
            <w:pPr>
              <w:spacing w:after="0"/>
              <w:rPr>
                <w:rFonts w:ascii="Arial" w:hAnsi="Arial" w:cs="Arial"/>
                <w:sz w:val="24"/>
                <w:szCs w:val="24"/>
              </w:rPr>
            </w:pPr>
          </w:p>
          <w:p w14:paraId="4EF0DA73" w14:textId="77777777" w:rsidR="005A2643" w:rsidRPr="005A2643" w:rsidRDefault="005A2643" w:rsidP="005A2643">
            <w:pPr>
              <w:spacing w:after="0"/>
              <w:rPr>
                <w:rFonts w:ascii="Arial" w:hAnsi="Arial" w:cs="Arial"/>
                <w:sz w:val="24"/>
                <w:szCs w:val="24"/>
              </w:rPr>
            </w:pPr>
          </w:p>
          <w:p w14:paraId="08F93D5B" w14:textId="77777777" w:rsidR="00BD0E41" w:rsidRPr="00BD0E41" w:rsidRDefault="00BD0E41" w:rsidP="005A2643">
            <w:pPr>
              <w:spacing w:after="0"/>
              <w:rPr>
                <w:rFonts w:ascii="Arial" w:hAnsi="Arial" w:cs="Arial"/>
                <w:color w:val="0000FF"/>
                <w:sz w:val="16"/>
                <w:szCs w:val="16"/>
              </w:rPr>
            </w:pPr>
          </w:p>
          <w:p w14:paraId="5CB37BC9" w14:textId="77777777" w:rsidR="005A2643" w:rsidRPr="00BD0E41" w:rsidRDefault="005A2643" w:rsidP="005A2643">
            <w:pPr>
              <w:spacing w:after="0"/>
              <w:rPr>
                <w:rFonts w:ascii="Arial" w:hAnsi="Arial" w:cs="Arial"/>
                <w:color w:val="0000FF"/>
                <w:sz w:val="24"/>
                <w:szCs w:val="24"/>
              </w:rPr>
            </w:pPr>
            <w:r w:rsidRPr="00BD0E41">
              <w:rPr>
                <w:rFonts w:ascii="Arial" w:hAnsi="Arial" w:cs="Arial"/>
                <w:color w:val="0000FF"/>
                <w:sz w:val="24"/>
                <w:szCs w:val="24"/>
              </w:rPr>
              <w:t>15-16 weeks</w:t>
            </w:r>
          </w:p>
          <w:p w14:paraId="6CA0C2E8" w14:textId="77777777" w:rsidR="005A2643" w:rsidRPr="00BD0E41" w:rsidRDefault="005A2643" w:rsidP="005A2643">
            <w:pPr>
              <w:spacing w:after="0"/>
              <w:rPr>
                <w:rFonts w:ascii="Arial" w:hAnsi="Arial" w:cs="Arial"/>
                <w:color w:val="0000FF"/>
                <w:sz w:val="24"/>
                <w:szCs w:val="24"/>
              </w:rPr>
            </w:pPr>
            <w:r w:rsidRPr="00BD0E41">
              <w:rPr>
                <w:rFonts w:ascii="Arial" w:hAnsi="Arial" w:cs="Arial"/>
                <w:color w:val="0000FF"/>
                <w:sz w:val="24"/>
                <w:szCs w:val="24"/>
              </w:rPr>
              <w:t>10-11 weeks</w:t>
            </w:r>
          </w:p>
          <w:p w14:paraId="6E6225E8" w14:textId="77777777" w:rsidR="005A2643" w:rsidRPr="00BD0E41" w:rsidRDefault="005A2643" w:rsidP="005A2643">
            <w:pPr>
              <w:spacing w:after="0"/>
              <w:rPr>
                <w:rFonts w:ascii="Arial" w:hAnsi="Arial" w:cs="Arial"/>
                <w:color w:val="0000FF"/>
                <w:sz w:val="24"/>
                <w:szCs w:val="24"/>
              </w:rPr>
            </w:pPr>
            <w:r w:rsidRPr="00BD0E41">
              <w:rPr>
                <w:rFonts w:ascii="Arial" w:hAnsi="Arial" w:cs="Arial"/>
                <w:color w:val="0000FF"/>
                <w:sz w:val="24"/>
                <w:szCs w:val="24"/>
              </w:rPr>
              <w:t>12-13 weeks</w:t>
            </w:r>
          </w:p>
          <w:p w14:paraId="46551736" w14:textId="77777777" w:rsidR="005A2643" w:rsidRPr="00BD0E41" w:rsidRDefault="005A2643" w:rsidP="005A2643">
            <w:pPr>
              <w:spacing w:after="0"/>
              <w:rPr>
                <w:rFonts w:ascii="Arial" w:hAnsi="Arial" w:cs="Arial"/>
                <w:color w:val="0000FF"/>
                <w:sz w:val="24"/>
                <w:szCs w:val="24"/>
              </w:rPr>
            </w:pPr>
            <w:r w:rsidRPr="00BD0E41">
              <w:rPr>
                <w:rFonts w:ascii="Arial" w:hAnsi="Arial" w:cs="Arial"/>
                <w:color w:val="0000FF"/>
                <w:sz w:val="24"/>
                <w:szCs w:val="24"/>
              </w:rPr>
              <w:t>4-5 weeks</w:t>
            </w:r>
          </w:p>
          <w:p w14:paraId="49685C0B" w14:textId="77777777" w:rsidR="005A2643" w:rsidRPr="005A2643" w:rsidRDefault="005A2643" w:rsidP="005A2643">
            <w:pPr>
              <w:spacing w:after="0"/>
              <w:rPr>
                <w:rFonts w:ascii="Arial" w:hAnsi="Arial" w:cs="Arial"/>
                <w:b/>
                <w:bCs/>
                <w:sz w:val="24"/>
                <w:szCs w:val="24"/>
              </w:rPr>
            </w:pPr>
            <w:r w:rsidRPr="00BD0E41">
              <w:rPr>
                <w:rFonts w:ascii="Arial" w:hAnsi="Arial" w:cs="Arial"/>
                <w:b/>
                <w:bCs/>
                <w:color w:val="0000FF"/>
                <w:sz w:val="24"/>
                <w:szCs w:val="24"/>
              </w:rPr>
              <w:t>11-12 weeks</w:t>
            </w:r>
          </w:p>
        </w:tc>
      </w:tr>
      <w:tr w:rsidR="005A2643" w:rsidRPr="005A2643" w14:paraId="290CC9F8" w14:textId="77777777" w:rsidTr="00BD0E41">
        <w:tc>
          <w:tcPr>
            <w:tcW w:w="6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BFEFE" w14:textId="77777777" w:rsidR="005A2643" w:rsidRPr="005A2643" w:rsidRDefault="005A2643" w:rsidP="001B78FD">
            <w:pPr>
              <w:pStyle w:val="ListParagraph"/>
              <w:numPr>
                <w:ilvl w:val="0"/>
                <w:numId w:val="1"/>
              </w:numPr>
              <w:ind w:left="447" w:hanging="283"/>
              <w:rPr>
                <w:rFonts w:ascii="Arial" w:eastAsia="Times New Roman" w:hAnsi="Arial" w:cs="Arial"/>
                <w:sz w:val="24"/>
                <w:szCs w:val="24"/>
              </w:rPr>
            </w:pPr>
            <w:r w:rsidRPr="005A2643">
              <w:rPr>
                <w:rFonts w:ascii="Arial" w:eastAsia="Times New Roman" w:hAnsi="Arial" w:cs="Arial"/>
                <w:sz w:val="24"/>
                <w:szCs w:val="24"/>
              </w:rPr>
              <w:t xml:space="preserve">How many applications are initially rejected but then receive approval after a plan is changed or more information is given?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6F624C0F" w14:textId="28CA14EE" w:rsidR="005A2643" w:rsidRPr="005A2643" w:rsidRDefault="00B43AEE" w:rsidP="002D5245">
            <w:pPr>
              <w:rPr>
                <w:rFonts w:ascii="Arial" w:hAnsi="Arial" w:cs="Arial"/>
                <w:sz w:val="24"/>
                <w:szCs w:val="24"/>
              </w:rPr>
            </w:pPr>
            <w:r>
              <w:rPr>
                <w:rFonts w:ascii="Arial" w:hAnsi="Arial" w:cs="Arial"/>
                <w:color w:val="0000FF"/>
                <w:sz w:val="24"/>
                <w:szCs w:val="24"/>
              </w:rPr>
              <w:t>*This information is not readily available</w:t>
            </w:r>
            <w:bookmarkStart w:id="0" w:name="_GoBack"/>
            <w:bookmarkEnd w:id="0"/>
            <w:r>
              <w:rPr>
                <w:rFonts w:ascii="Arial" w:hAnsi="Arial" w:cs="Arial"/>
                <w:color w:val="0000FF"/>
                <w:sz w:val="24"/>
                <w:szCs w:val="24"/>
              </w:rPr>
              <w:t xml:space="preserve">  </w:t>
            </w:r>
          </w:p>
        </w:tc>
      </w:tr>
      <w:tr w:rsidR="005A2643" w:rsidRPr="005A2643" w14:paraId="719977E6" w14:textId="77777777" w:rsidTr="00BD0E41">
        <w:tc>
          <w:tcPr>
            <w:tcW w:w="6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D05EF" w14:textId="77777777" w:rsidR="005A2643" w:rsidRPr="005A2643" w:rsidRDefault="005A2643" w:rsidP="001B78FD">
            <w:pPr>
              <w:pStyle w:val="ListParagraph"/>
              <w:numPr>
                <w:ilvl w:val="0"/>
                <w:numId w:val="1"/>
              </w:numPr>
              <w:ind w:left="447" w:hanging="283"/>
              <w:rPr>
                <w:rFonts w:ascii="Arial" w:eastAsia="Times New Roman" w:hAnsi="Arial" w:cs="Arial"/>
                <w:sz w:val="24"/>
                <w:szCs w:val="24"/>
              </w:rPr>
            </w:pPr>
            <w:r w:rsidRPr="005A2643">
              <w:rPr>
                <w:rFonts w:ascii="Arial" w:eastAsia="Times New Roman" w:hAnsi="Arial" w:cs="Arial"/>
                <w:sz w:val="24"/>
                <w:szCs w:val="24"/>
              </w:rPr>
              <w:t xml:space="preserve">Do you have a breakdown of the different types of applications you </w:t>
            </w:r>
            <w:r w:rsidRPr="005A2643">
              <w:rPr>
                <w:rFonts w:ascii="Arial" w:eastAsia="Times New Roman" w:hAnsi="Arial" w:cs="Arial"/>
                <w:strike/>
                <w:sz w:val="24"/>
                <w:szCs w:val="24"/>
              </w:rPr>
              <w:t>receive</w:t>
            </w:r>
            <w:r w:rsidRPr="005A2643">
              <w:rPr>
                <w:rFonts w:ascii="Arial" w:eastAsia="Times New Roman" w:hAnsi="Arial" w:cs="Arial"/>
                <w:sz w:val="24"/>
                <w:szCs w:val="24"/>
              </w:rPr>
              <w:t xml:space="preserve"> (validated)?</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0AC98FAC" w14:textId="77777777" w:rsidR="005A2643" w:rsidRPr="005A2643" w:rsidRDefault="005A2643" w:rsidP="002D5245">
            <w:pPr>
              <w:rPr>
                <w:rFonts w:ascii="Arial" w:hAnsi="Arial" w:cs="Arial"/>
                <w:sz w:val="24"/>
                <w:szCs w:val="24"/>
              </w:rPr>
            </w:pPr>
            <w:r w:rsidRPr="00BD0E41">
              <w:rPr>
                <w:rFonts w:ascii="Arial" w:hAnsi="Arial" w:cs="Arial"/>
                <w:color w:val="0000FF"/>
                <w:sz w:val="24"/>
                <w:szCs w:val="24"/>
              </w:rPr>
              <w:t xml:space="preserve">See table below </w:t>
            </w:r>
          </w:p>
        </w:tc>
      </w:tr>
    </w:tbl>
    <w:p w14:paraId="27999829" w14:textId="77777777" w:rsidR="005A2643" w:rsidRPr="00BD0E41" w:rsidRDefault="005A2643" w:rsidP="00BD0E41">
      <w:pPr>
        <w:rPr>
          <w:rFonts w:ascii="Arial" w:hAnsi="Arial" w:cs="Arial"/>
          <w:sz w:val="8"/>
          <w:szCs w:val="8"/>
        </w:rPr>
      </w:pPr>
    </w:p>
    <w:tbl>
      <w:tblPr>
        <w:tblW w:w="0" w:type="auto"/>
        <w:tblInd w:w="-8" w:type="dxa"/>
        <w:tblCellMar>
          <w:left w:w="0" w:type="dxa"/>
          <w:right w:w="0" w:type="dxa"/>
        </w:tblCellMar>
        <w:tblLook w:val="04A0" w:firstRow="1" w:lastRow="0" w:firstColumn="1" w:lastColumn="0" w:noHBand="0" w:noVBand="1"/>
      </w:tblPr>
      <w:tblGrid>
        <w:gridCol w:w="7228"/>
        <w:gridCol w:w="1701"/>
      </w:tblGrid>
      <w:tr w:rsidR="005A2643" w:rsidRPr="005A2643" w14:paraId="0AE81169" w14:textId="77777777" w:rsidTr="00BD0E41">
        <w:trPr>
          <w:trHeight w:val="270"/>
          <w:tblHeader/>
        </w:trPr>
        <w:tc>
          <w:tcPr>
            <w:tcW w:w="72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A6F1C0F" w14:textId="77777777" w:rsidR="005A2643" w:rsidRPr="00BD0E41" w:rsidRDefault="005A2643" w:rsidP="00BD0E41">
            <w:pPr>
              <w:spacing w:after="0"/>
              <w:rPr>
                <w:rFonts w:ascii="Arial" w:hAnsi="Arial" w:cs="Arial"/>
                <w:b/>
                <w:bCs/>
                <w:sz w:val="24"/>
                <w:szCs w:val="24"/>
              </w:rPr>
            </w:pPr>
            <w:r w:rsidRPr="00BD0E41">
              <w:rPr>
                <w:rFonts w:ascii="Arial" w:hAnsi="Arial" w:cs="Arial"/>
                <w:b/>
                <w:bCs/>
                <w:sz w:val="24"/>
                <w:szCs w:val="24"/>
              </w:rPr>
              <w:t>Development Type</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3944A03" w14:textId="77777777" w:rsidR="005A2643" w:rsidRPr="00BD0E41" w:rsidRDefault="005A2643" w:rsidP="00BD0E41">
            <w:pPr>
              <w:spacing w:after="0"/>
              <w:rPr>
                <w:rFonts w:ascii="Arial" w:hAnsi="Arial" w:cs="Arial"/>
                <w:b/>
                <w:bCs/>
                <w:sz w:val="24"/>
                <w:szCs w:val="24"/>
              </w:rPr>
            </w:pPr>
            <w:r w:rsidRPr="00BD0E41">
              <w:rPr>
                <w:rFonts w:ascii="Arial" w:hAnsi="Arial" w:cs="Arial"/>
                <w:b/>
                <w:bCs/>
                <w:sz w:val="24"/>
                <w:szCs w:val="24"/>
              </w:rPr>
              <w:t>Applications</w:t>
            </w:r>
          </w:p>
        </w:tc>
      </w:tr>
      <w:tr w:rsidR="005A2643" w:rsidRPr="005A2643" w14:paraId="3416A65C"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F0A517"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Minerals and waste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41FA22D2"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5</w:t>
            </w:r>
          </w:p>
        </w:tc>
      </w:tr>
      <w:tr w:rsidR="005A2643" w:rsidRPr="005A2643" w14:paraId="7E5740A1"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F8E99E"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 xml:space="preserve">Largescale Major - Dwellings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F273634"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17</w:t>
            </w:r>
          </w:p>
        </w:tc>
      </w:tr>
      <w:tr w:rsidR="005A2643" w:rsidRPr="005A2643" w14:paraId="61D19B64"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575539"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 xml:space="preserve">Largescale Major - Offices / R&amp;D / Light Industry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56D6BE9"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2</w:t>
            </w:r>
          </w:p>
        </w:tc>
      </w:tr>
      <w:tr w:rsidR="005A2643" w:rsidRPr="005A2643" w14:paraId="32007720"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432BB0"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 xml:space="preserve">Largescale Major - General Industry/Storage/Warehousing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48EFC90B"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1</w:t>
            </w:r>
          </w:p>
        </w:tc>
      </w:tr>
      <w:tr w:rsidR="005A2643" w:rsidRPr="005A2643" w14:paraId="60CBAEAC"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E6CF14"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 xml:space="preserve">Largescale Major - All other Largescale Major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FA324E7"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4</w:t>
            </w:r>
          </w:p>
        </w:tc>
      </w:tr>
      <w:tr w:rsidR="005A2643" w:rsidRPr="005A2643" w14:paraId="776CEEC4"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F8E6F6" w14:textId="77777777" w:rsidR="005A2643" w:rsidRPr="00BD0E41" w:rsidRDefault="005A2643" w:rsidP="00BD0E41">
            <w:pPr>
              <w:spacing w:after="0"/>
              <w:rPr>
                <w:rFonts w:ascii="Arial" w:hAnsi="Arial" w:cs="Arial"/>
                <w:sz w:val="24"/>
                <w:szCs w:val="24"/>
              </w:rPr>
            </w:pPr>
            <w:proofErr w:type="spellStart"/>
            <w:r w:rsidRPr="00BD0E41">
              <w:rPr>
                <w:rFonts w:ascii="Arial" w:hAnsi="Arial" w:cs="Arial"/>
                <w:sz w:val="24"/>
                <w:szCs w:val="24"/>
              </w:rPr>
              <w:t>Smallscale</w:t>
            </w:r>
            <w:proofErr w:type="spellEnd"/>
            <w:r w:rsidRPr="00BD0E41">
              <w:rPr>
                <w:rFonts w:ascii="Arial" w:hAnsi="Arial" w:cs="Arial"/>
                <w:sz w:val="24"/>
                <w:szCs w:val="24"/>
              </w:rPr>
              <w:t xml:space="preserve"> Major - Dwellings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7C1231D"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69</w:t>
            </w:r>
          </w:p>
        </w:tc>
      </w:tr>
      <w:tr w:rsidR="005A2643" w:rsidRPr="005A2643" w14:paraId="714F8237"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10DBB3" w14:textId="77777777" w:rsidR="005A2643" w:rsidRPr="00BD0E41" w:rsidRDefault="005A2643" w:rsidP="00BD0E41">
            <w:pPr>
              <w:spacing w:after="0"/>
              <w:rPr>
                <w:rFonts w:ascii="Arial" w:hAnsi="Arial" w:cs="Arial"/>
                <w:sz w:val="24"/>
                <w:szCs w:val="24"/>
              </w:rPr>
            </w:pPr>
            <w:proofErr w:type="spellStart"/>
            <w:r w:rsidRPr="00BD0E41">
              <w:rPr>
                <w:rFonts w:ascii="Arial" w:hAnsi="Arial" w:cs="Arial"/>
                <w:sz w:val="24"/>
                <w:szCs w:val="24"/>
              </w:rPr>
              <w:t>Smallscale</w:t>
            </w:r>
            <w:proofErr w:type="spellEnd"/>
            <w:r w:rsidRPr="00BD0E41">
              <w:rPr>
                <w:rFonts w:ascii="Arial" w:hAnsi="Arial" w:cs="Arial"/>
                <w:sz w:val="24"/>
                <w:szCs w:val="24"/>
              </w:rPr>
              <w:t xml:space="preserve"> Major - Offices / R&amp;D / Light Industry</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06C93DAB"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3</w:t>
            </w:r>
          </w:p>
        </w:tc>
      </w:tr>
      <w:tr w:rsidR="005A2643" w:rsidRPr="005A2643" w14:paraId="7B8B91AA"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43618F" w14:textId="77777777" w:rsidR="005A2643" w:rsidRPr="00BD0E41" w:rsidRDefault="005A2643" w:rsidP="00BD0E41">
            <w:pPr>
              <w:spacing w:after="0"/>
              <w:rPr>
                <w:rFonts w:ascii="Arial" w:hAnsi="Arial" w:cs="Arial"/>
                <w:sz w:val="24"/>
                <w:szCs w:val="24"/>
              </w:rPr>
            </w:pPr>
            <w:proofErr w:type="spellStart"/>
            <w:r w:rsidRPr="00BD0E41">
              <w:rPr>
                <w:rFonts w:ascii="Arial" w:hAnsi="Arial" w:cs="Arial"/>
                <w:sz w:val="24"/>
                <w:szCs w:val="24"/>
              </w:rPr>
              <w:t>Smallscale</w:t>
            </w:r>
            <w:proofErr w:type="spellEnd"/>
            <w:r w:rsidRPr="00BD0E41">
              <w:rPr>
                <w:rFonts w:ascii="Arial" w:hAnsi="Arial" w:cs="Arial"/>
                <w:sz w:val="24"/>
                <w:szCs w:val="24"/>
              </w:rPr>
              <w:t xml:space="preserve"> Major - General Industry/Storage/Warehousing</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E025BE1"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5</w:t>
            </w:r>
          </w:p>
        </w:tc>
      </w:tr>
      <w:tr w:rsidR="005A2643" w:rsidRPr="005A2643" w14:paraId="0F078604"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60192D" w14:textId="77777777" w:rsidR="005A2643" w:rsidRPr="00BD0E41" w:rsidRDefault="005A2643" w:rsidP="00BD0E41">
            <w:pPr>
              <w:spacing w:after="0"/>
              <w:rPr>
                <w:rFonts w:ascii="Arial" w:hAnsi="Arial" w:cs="Arial"/>
                <w:sz w:val="24"/>
                <w:szCs w:val="24"/>
              </w:rPr>
            </w:pPr>
            <w:proofErr w:type="spellStart"/>
            <w:r w:rsidRPr="00BD0E41">
              <w:rPr>
                <w:rFonts w:ascii="Arial" w:hAnsi="Arial" w:cs="Arial"/>
                <w:sz w:val="24"/>
                <w:szCs w:val="24"/>
              </w:rPr>
              <w:t>Smallscale</w:t>
            </w:r>
            <w:proofErr w:type="spellEnd"/>
            <w:r w:rsidRPr="00BD0E41">
              <w:rPr>
                <w:rFonts w:ascii="Arial" w:hAnsi="Arial" w:cs="Arial"/>
                <w:sz w:val="24"/>
                <w:szCs w:val="24"/>
              </w:rPr>
              <w:t xml:space="preserve"> Major - Retail</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5B294E8"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7</w:t>
            </w:r>
          </w:p>
        </w:tc>
      </w:tr>
      <w:tr w:rsidR="005A2643" w:rsidRPr="005A2643" w14:paraId="65516F54"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ACF2FD" w14:textId="77777777" w:rsidR="005A2643" w:rsidRPr="00BD0E41" w:rsidRDefault="005A2643" w:rsidP="00BD0E41">
            <w:pPr>
              <w:spacing w:after="0"/>
              <w:rPr>
                <w:rFonts w:ascii="Arial" w:hAnsi="Arial" w:cs="Arial"/>
                <w:sz w:val="24"/>
                <w:szCs w:val="24"/>
              </w:rPr>
            </w:pPr>
            <w:proofErr w:type="spellStart"/>
            <w:r w:rsidRPr="00BD0E41">
              <w:rPr>
                <w:rFonts w:ascii="Arial" w:hAnsi="Arial" w:cs="Arial"/>
                <w:sz w:val="24"/>
                <w:szCs w:val="24"/>
              </w:rPr>
              <w:t>Smallscale</w:t>
            </w:r>
            <w:proofErr w:type="spellEnd"/>
            <w:r w:rsidRPr="00BD0E41">
              <w:rPr>
                <w:rFonts w:ascii="Arial" w:hAnsi="Arial" w:cs="Arial"/>
                <w:sz w:val="24"/>
                <w:szCs w:val="24"/>
              </w:rPr>
              <w:t xml:space="preserve"> Major - All other </w:t>
            </w:r>
            <w:proofErr w:type="spellStart"/>
            <w:r w:rsidRPr="00BD0E41">
              <w:rPr>
                <w:rFonts w:ascii="Arial" w:hAnsi="Arial" w:cs="Arial"/>
                <w:sz w:val="24"/>
                <w:szCs w:val="24"/>
              </w:rPr>
              <w:t>Smallscale</w:t>
            </w:r>
            <w:proofErr w:type="spellEnd"/>
            <w:r w:rsidRPr="00BD0E41">
              <w:rPr>
                <w:rFonts w:ascii="Arial" w:hAnsi="Arial" w:cs="Arial"/>
                <w:sz w:val="24"/>
                <w:szCs w:val="24"/>
              </w:rPr>
              <w:t xml:space="preserve"> Major</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BF29BD8"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33</w:t>
            </w:r>
          </w:p>
        </w:tc>
      </w:tr>
      <w:tr w:rsidR="005A2643" w:rsidRPr="005A2643" w14:paraId="1D335743"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28DCC2"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Minor - Dwellings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AA9BFE4"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237</w:t>
            </w:r>
          </w:p>
        </w:tc>
      </w:tr>
      <w:tr w:rsidR="005A2643" w:rsidRPr="005A2643" w14:paraId="69A3A88A"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A76780"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Minor - Offices / R&amp;D / Light Industry</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23A8241"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42</w:t>
            </w:r>
          </w:p>
        </w:tc>
      </w:tr>
      <w:tr w:rsidR="005A2643" w:rsidRPr="005A2643" w14:paraId="6BDBE427"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85A76D"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Minor - General Industry / Storage / Warehousing</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074CCA7"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23</w:t>
            </w:r>
          </w:p>
        </w:tc>
      </w:tr>
      <w:tr w:rsidR="005A2643" w:rsidRPr="005A2643" w14:paraId="5605C82F"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CCA2ED"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Minor - Retail</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E935A8D"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145</w:t>
            </w:r>
          </w:p>
        </w:tc>
      </w:tr>
      <w:tr w:rsidR="005A2643" w:rsidRPr="005A2643" w14:paraId="01978651"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DDA1AB"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Minor - All other Minor</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F8FFADB"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288</w:t>
            </w:r>
          </w:p>
        </w:tc>
      </w:tr>
      <w:tr w:rsidR="005A2643" w:rsidRPr="005A2643" w14:paraId="40328601"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08947D"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lastRenderedPageBreak/>
              <w:t>Other - Change of Use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D3548B1"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529</w:t>
            </w:r>
          </w:p>
        </w:tc>
      </w:tr>
      <w:tr w:rsidR="005A2643" w:rsidRPr="005A2643" w14:paraId="10564B8C"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4BB279"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Other - Householder</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0C0AAB32"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1547</w:t>
            </w:r>
          </w:p>
        </w:tc>
      </w:tr>
      <w:tr w:rsidR="005A2643" w:rsidRPr="005A2643" w14:paraId="5DC3A103"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9CFE0B"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Other - Advertisements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6CAD112"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287</w:t>
            </w:r>
          </w:p>
        </w:tc>
      </w:tr>
      <w:tr w:rsidR="005A2643" w:rsidRPr="005A2643" w14:paraId="49771DC2"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04EB7F"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Other - Listed Building Consent to Alter/Extend</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8CB4733"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102</w:t>
            </w:r>
          </w:p>
        </w:tc>
      </w:tr>
      <w:tr w:rsidR="005A2643" w:rsidRPr="005A2643" w14:paraId="57CEC480"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BD7816"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Other - Listed Building Consent to Demolish</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4B4D14F"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2</w:t>
            </w:r>
          </w:p>
        </w:tc>
      </w:tr>
      <w:tr w:rsidR="005A2643" w:rsidRPr="005A2643" w14:paraId="6A51729F"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5545A2"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Other - Certificates of Lawful Development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0C5D173F"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125</w:t>
            </w:r>
          </w:p>
        </w:tc>
      </w:tr>
      <w:tr w:rsidR="005A2643" w:rsidRPr="005A2643" w14:paraId="3A3F1DF2"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A73A71"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Others*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779E47C"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830</w:t>
            </w:r>
          </w:p>
        </w:tc>
      </w:tr>
      <w:tr w:rsidR="005A2643" w:rsidRPr="005A2643" w14:paraId="50CD6E12"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6CAFE5"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Prior Approval</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EA4BC02"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612</w:t>
            </w:r>
          </w:p>
        </w:tc>
      </w:tr>
      <w:tr w:rsidR="005A2643" w:rsidRPr="005A2643" w14:paraId="5F51F457"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047E1B"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rPr>
              <w:t>Total</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B66BC48" w14:textId="77777777" w:rsidR="005A2643" w:rsidRPr="00BD0E41" w:rsidRDefault="005A2643" w:rsidP="00BD0E41">
            <w:pPr>
              <w:spacing w:after="0"/>
              <w:jc w:val="right"/>
              <w:rPr>
                <w:rFonts w:ascii="Arial" w:hAnsi="Arial" w:cs="Arial"/>
                <w:color w:val="0000FF"/>
                <w:sz w:val="24"/>
                <w:szCs w:val="24"/>
              </w:rPr>
            </w:pPr>
            <w:r w:rsidRPr="00BD0E41">
              <w:rPr>
                <w:rFonts w:ascii="Arial" w:hAnsi="Arial" w:cs="Arial"/>
                <w:color w:val="0000FF"/>
                <w:sz w:val="24"/>
                <w:szCs w:val="24"/>
              </w:rPr>
              <w:t>4915</w:t>
            </w:r>
          </w:p>
        </w:tc>
      </w:tr>
      <w:tr w:rsidR="005A2643" w:rsidRPr="005A2643" w14:paraId="47DA7C05"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61793E1" w14:textId="77777777" w:rsidR="005A2643" w:rsidRPr="00BD0E41" w:rsidRDefault="005A2643" w:rsidP="00BD0E41">
            <w:pPr>
              <w:spacing w:after="0"/>
              <w:rPr>
                <w:rFonts w:ascii="Arial" w:hAnsi="Arial" w:cs="Arial"/>
                <w:sz w:val="24"/>
                <w:szCs w:val="24"/>
                <w:lang w:eastAsia="en-GB"/>
              </w:rPr>
            </w:pPr>
            <w:r w:rsidRPr="00BD0E41">
              <w:rPr>
                <w:rFonts w:ascii="Arial" w:hAnsi="Arial" w:cs="Arial"/>
                <w:sz w:val="24"/>
                <w:szCs w:val="24"/>
                <w:lang w:eastAsia="en-GB"/>
              </w:rPr>
              <w:t xml:space="preserve">* Others: </w:t>
            </w:r>
          </w:p>
          <w:p w14:paraId="31911C9E" w14:textId="77777777" w:rsidR="005A2643" w:rsidRPr="00BD0E41" w:rsidRDefault="005A2643" w:rsidP="00BD0E41">
            <w:pPr>
              <w:spacing w:after="0"/>
              <w:rPr>
                <w:rFonts w:ascii="Arial" w:hAnsi="Arial" w:cs="Arial"/>
                <w:sz w:val="24"/>
                <w:szCs w:val="24"/>
                <w:lang w:eastAsia="en-GB"/>
              </w:rPr>
            </w:pPr>
            <w:r w:rsidRPr="00BD0E41">
              <w:rPr>
                <w:rFonts w:ascii="Arial" w:hAnsi="Arial" w:cs="Arial"/>
                <w:sz w:val="24"/>
                <w:szCs w:val="24"/>
                <w:lang w:eastAsia="en-GB"/>
              </w:rPr>
              <w:t>CON - Discharging Conditions</w:t>
            </w:r>
          </w:p>
          <w:p w14:paraId="2703B93C" w14:textId="77777777" w:rsidR="005A2643" w:rsidRPr="00BD0E41" w:rsidRDefault="005A2643" w:rsidP="00BD0E41">
            <w:pPr>
              <w:spacing w:after="0"/>
              <w:rPr>
                <w:rFonts w:ascii="Arial" w:hAnsi="Arial" w:cs="Arial"/>
                <w:sz w:val="24"/>
                <w:szCs w:val="24"/>
                <w:lang w:eastAsia="en-GB"/>
              </w:rPr>
            </w:pPr>
            <w:r w:rsidRPr="00BD0E41">
              <w:rPr>
                <w:rFonts w:ascii="Arial" w:hAnsi="Arial" w:cs="Arial"/>
                <w:sz w:val="24"/>
                <w:szCs w:val="24"/>
                <w:lang w:eastAsia="en-GB"/>
              </w:rPr>
              <w:t>NMC - Non-Material Change to Planning Permission</w:t>
            </w:r>
          </w:p>
          <w:p w14:paraId="54E5F27C" w14:textId="77777777" w:rsidR="005A2643" w:rsidRPr="00BD0E41" w:rsidRDefault="005A2643" w:rsidP="00BD0E41">
            <w:pPr>
              <w:spacing w:after="0"/>
              <w:rPr>
                <w:rFonts w:ascii="Arial" w:hAnsi="Arial" w:cs="Arial"/>
                <w:sz w:val="24"/>
                <w:szCs w:val="24"/>
                <w:lang w:eastAsia="en-GB"/>
              </w:rPr>
            </w:pPr>
            <w:r w:rsidRPr="00BD0E41">
              <w:rPr>
                <w:rFonts w:ascii="Arial" w:hAnsi="Arial" w:cs="Arial"/>
                <w:sz w:val="24"/>
                <w:szCs w:val="24"/>
                <w:lang w:eastAsia="en-GB"/>
              </w:rPr>
              <w:t>TPO - Works to protected trees</w:t>
            </w:r>
          </w:p>
          <w:p w14:paraId="14946806" w14:textId="77777777" w:rsidR="005A2643" w:rsidRPr="00BD0E41" w:rsidRDefault="005A2643" w:rsidP="00BD0E41">
            <w:pPr>
              <w:spacing w:after="0"/>
              <w:rPr>
                <w:rFonts w:ascii="Arial" w:hAnsi="Arial" w:cs="Arial"/>
                <w:sz w:val="24"/>
                <w:szCs w:val="24"/>
              </w:rPr>
            </w:pPr>
            <w:r w:rsidRPr="00BD0E41">
              <w:rPr>
                <w:rFonts w:ascii="Arial" w:hAnsi="Arial" w:cs="Arial"/>
                <w:sz w:val="24"/>
                <w:szCs w:val="24"/>
                <w:lang w:eastAsia="en-GB"/>
              </w:rPr>
              <w:t xml:space="preserve">TRE - Notification of works to trees in conservation areas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1C677404" w14:textId="77777777" w:rsidR="005A2643" w:rsidRPr="00BD0E41" w:rsidRDefault="005A2643" w:rsidP="00BD0E41">
            <w:pPr>
              <w:spacing w:after="0"/>
              <w:jc w:val="right"/>
              <w:rPr>
                <w:rFonts w:ascii="Arial" w:hAnsi="Arial" w:cs="Arial"/>
                <w:sz w:val="24"/>
                <w:szCs w:val="24"/>
              </w:rPr>
            </w:pPr>
          </w:p>
        </w:tc>
      </w:tr>
      <w:tr w:rsidR="005A2643" w:rsidRPr="005A2643" w14:paraId="09F3BE43"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3D498FF" w14:textId="77777777" w:rsidR="005A2643" w:rsidRPr="00BD0E41" w:rsidRDefault="005A2643" w:rsidP="00BD0E41">
            <w:pPr>
              <w:spacing w:after="0"/>
              <w:rPr>
                <w:rFonts w:ascii="Arial" w:hAnsi="Arial" w:cs="Arial"/>
                <w:sz w:val="24"/>
                <w:szCs w:val="24"/>
                <w:lang w:eastAsia="en-GB"/>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2DFE2590" w14:textId="77777777" w:rsidR="005A2643" w:rsidRPr="00BD0E41" w:rsidRDefault="005A2643" w:rsidP="00BD0E41">
            <w:pPr>
              <w:spacing w:after="0"/>
              <w:jc w:val="right"/>
              <w:rPr>
                <w:rFonts w:ascii="Arial" w:hAnsi="Arial" w:cs="Arial"/>
                <w:sz w:val="24"/>
                <w:szCs w:val="24"/>
              </w:rPr>
            </w:pPr>
          </w:p>
        </w:tc>
      </w:tr>
      <w:tr w:rsidR="005A2643" w:rsidRPr="005A2643" w14:paraId="278E8659" w14:textId="77777777" w:rsidTr="00BD0E41">
        <w:trPr>
          <w:trHeight w:val="255"/>
        </w:trPr>
        <w:tc>
          <w:tcPr>
            <w:tcW w:w="7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D6C59D" w14:textId="77777777" w:rsidR="005A2643" w:rsidRPr="00BD0E41" w:rsidRDefault="00B43AEE" w:rsidP="00BD0E41">
            <w:pPr>
              <w:spacing w:after="0"/>
              <w:rPr>
                <w:rFonts w:ascii="Arial" w:hAnsi="Arial" w:cs="Arial"/>
                <w:sz w:val="24"/>
                <w:szCs w:val="24"/>
                <w:lang w:eastAsia="en-GB"/>
              </w:rPr>
            </w:pPr>
            <w:hyperlink r:id="rId5" w:history="1">
              <w:r w:rsidR="005A2643" w:rsidRPr="00BD0E41">
                <w:rPr>
                  <w:rStyle w:val="Hyperlink"/>
                  <w:rFonts w:ascii="Arial" w:hAnsi="Arial" w:cs="Arial"/>
                  <w:color w:val="0000FF"/>
                  <w:sz w:val="24"/>
                  <w:szCs w:val="24"/>
                  <w:lang w:eastAsia="en-GB"/>
                </w:rPr>
                <w:t>See here for definitions</w:t>
              </w:r>
            </w:hyperlink>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5867F77E" w14:textId="77777777" w:rsidR="005A2643" w:rsidRPr="00BD0E41" w:rsidRDefault="005A2643" w:rsidP="00BD0E41">
            <w:pPr>
              <w:spacing w:after="0"/>
              <w:jc w:val="right"/>
              <w:rPr>
                <w:rFonts w:ascii="Arial" w:hAnsi="Arial" w:cs="Arial"/>
                <w:sz w:val="24"/>
                <w:szCs w:val="24"/>
              </w:rPr>
            </w:pPr>
          </w:p>
        </w:tc>
      </w:tr>
    </w:tbl>
    <w:p w14:paraId="21C4DB8D" w14:textId="77777777" w:rsidR="0014215D" w:rsidRPr="0014215D" w:rsidRDefault="0014215D" w:rsidP="0014215D">
      <w:pPr>
        <w:rPr>
          <w:rStyle w:val="apple-style-span"/>
          <w:rFonts w:ascii="Arial" w:hAnsi="Arial" w:cs="Arial"/>
          <w:color w:val="0000FF"/>
          <w:sz w:val="24"/>
          <w:szCs w:val="24"/>
        </w:rPr>
      </w:pPr>
    </w:p>
    <w:p w14:paraId="1827742F" w14:textId="77777777" w:rsidR="007243BD" w:rsidRPr="0014215D" w:rsidRDefault="007243BD" w:rsidP="0014215D">
      <w:pPr>
        <w:rPr>
          <w:rStyle w:val="apple-style-span"/>
          <w:rFonts w:ascii="Arial" w:hAnsi="Arial" w:cs="Arial"/>
          <w:color w:val="0000FF"/>
          <w:sz w:val="24"/>
          <w:szCs w:val="24"/>
        </w:rPr>
      </w:pPr>
      <w:r w:rsidRPr="0014215D">
        <w:rPr>
          <w:rStyle w:val="apple-style-span"/>
          <w:rFonts w:ascii="Arial" w:hAnsi="Arial" w:cs="Arial"/>
          <w:color w:val="0000FF"/>
          <w:sz w:val="24"/>
          <w:szCs w:val="24"/>
        </w:rPr>
        <w:t>*The Council has duly determined that to comply with your request in its current form will exceed the appropriate limit.</w:t>
      </w:r>
    </w:p>
    <w:p w14:paraId="3CA0FF3F" w14:textId="77777777" w:rsidR="007243BD" w:rsidRPr="0014215D" w:rsidRDefault="007243BD" w:rsidP="0014215D">
      <w:pPr>
        <w:rPr>
          <w:rFonts w:ascii="Arial" w:hAnsi="Arial" w:cs="Arial"/>
          <w:bCs/>
          <w:color w:val="0000FF"/>
          <w:sz w:val="24"/>
          <w:szCs w:val="24"/>
        </w:rPr>
      </w:pPr>
      <w:r w:rsidRPr="0014215D">
        <w:rPr>
          <w:rFonts w:ascii="Arial" w:hAnsi="Arial" w:cs="Arial"/>
          <w:iCs/>
          <w:color w:val="0000FF"/>
          <w:sz w:val="24"/>
          <w:szCs w:val="24"/>
        </w:rPr>
        <w:t xml:space="preserve">Leicester City Council do not record this information in a reportable format; </w:t>
      </w:r>
      <w:r w:rsidRPr="0014215D">
        <w:rPr>
          <w:rFonts w:ascii="Arial" w:hAnsi="Arial" w:cs="Arial"/>
          <w:bCs/>
          <w:color w:val="0000FF"/>
          <w:sz w:val="24"/>
          <w:szCs w:val="24"/>
        </w:rPr>
        <w:t xml:space="preserve">the requested information would be recorded on an individual case file and would require the manual trawl of file and this exercise would exceed the cost limit.  </w:t>
      </w:r>
    </w:p>
    <w:p w14:paraId="076CFB5E" w14:textId="77777777" w:rsidR="007243BD" w:rsidRPr="0014215D" w:rsidRDefault="007243BD" w:rsidP="0014215D">
      <w:pPr>
        <w:rPr>
          <w:rFonts w:ascii="Arial" w:hAnsi="Arial" w:cs="Arial"/>
          <w:bCs/>
          <w:color w:val="0000FF"/>
          <w:sz w:val="24"/>
          <w:szCs w:val="24"/>
        </w:rPr>
      </w:pPr>
      <w:r w:rsidRPr="0014215D">
        <w:rPr>
          <w:rFonts w:ascii="Arial" w:hAnsi="Arial" w:cs="Arial"/>
          <w:iCs/>
          <w:color w:val="0000FF"/>
          <w:sz w:val="24"/>
          <w:szCs w:val="24"/>
        </w:rPr>
        <w:t>Section 12 of the FOIA makes provision for public authorities to refuse requests for information where the cost of dealing with them would exceed the appropriate limit, which for local government is set at £450. This represents the estimated cost of one person spending more than 18 hours in determining whether the department holds the information, locating, retrieving and extracting the information.</w:t>
      </w:r>
    </w:p>
    <w:p w14:paraId="7AF3F2B4" w14:textId="77777777" w:rsidR="007243BD" w:rsidRPr="0014215D" w:rsidRDefault="007243BD" w:rsidP="0014215D">
      <w:pPr>
        <w:rPr>
          <w:rFonts w:ascii="Arial" w:hAnsi="Arial" w:cs="Arial"/>
          <w:bCs/>
          <w:color w:val="0000FF"/>
          <w:sz w:val="24"/>
          <w:szCs w:val="24"/>
        </w:rPr>
      </w:pPr>
      <w:r w:rsidRPr="0014215D">
        <w:rPr>
          <w:rStyle w:val="apple-style-span"/>
          <w:rFonts w:ascii="Arial" w:hAnsi="Arial" w:cs="Arial"/>
          <w:color w:val="0000FF"/>
          <w:sz w:val="24"/>
          <w:szCs w:val="24"/>
        </w:rPr>
        <w:t xml:space="preserve">This is therefore a Refusal Notice under Section 17(1) of the FOIA because an exemption under Section 12(1) of the Act (over the cost limit) is being applied. </w:t>
      </w:r>
    </w:p>
    <w:p w14:paraId="7BB2CE03" w14:textId="77777777" w:rsidR="007243BD" w:rsidRPr="0014215D" w:rsidRDefault="007243BD" w:rsidP="0014215D">
      <w:pPr>
        <w:rPr>
          <w:rFonts w:ascii="Arial" w:hAnsi="Arial" w:cs="Arial"/>
          <w:color w:val="0000FF"/>
          <w:sz w:val="24"/>
          <w:szCs w:val="24"/>
        </w:rPr>
      </w:pPr>
      <w:r w:rsidRPr="0014215D">
        <w:rPr>
          <w:rFonts w:ascii="Arial" w:hAnsi="Arial" w:cs="Arial"/>
          <w:color w:val="0000FF"/>
          <w:sz w:val="24"/>
          <w:szCs w:val="24"/>
        </w:rPr>
        <w:t>The Council also judges that the following exception to disclosure is also applicable under the EIR.  Regulation 12(4)(b) provides that a public authority may refuse to disclose information to the extent that the request for information is manifestly unreasonable and Leicester City Council consider that this exception applies in this case.</w:t>
      </w:r>
    </w:p>
    <w:p w14:paraId="15963537" w14:textId="77777777" w:rsidR="007243BD" w:rsidRPr="0014215D" w:rsidRDefault="007243BD" w:rsidP="0014215D">
      <w:pPr>
        <w:rPr>
          <w:rFonts w:ascii="Arial" w:hAnsi="Arial" w:cs="Arial"/>
          <w:color w:val="0000FF"/>
          <w:sz w:val="24"/>
          <w:szCs w:val="24"/>
        </w:rPr>
      </w:pPr>
      <w:r w:rsidRPr="0014215D">
        <w:rPr>
          <w:rFonts w:ascii="Arial" w:hAnsi="Arial" w:cs="Arial"/>
          <w:color w:val="0000FF"/>
          <w:sz w:val="24"/>
          <w:szCs w:val="24"/>
        </w:rPr>
        <w:t>While under the EIR there is no appropriate cost limit above which authorities are not required to deal with requests for information, the ICO’s guidance on regulation 12(4)(b) states ‘In assessing whether the cost, or the amount of staff time involved in responding to a request, is sufficient to render a request manifestly unreasonable the FOIA fees regulations may be a useful starting point’.</w:t>
      </w:r>
    </w:p>
    <w:p w14:paraId="3E8436A7" w14:textId="77777777" w:rsidR="007243BD" w:rsidRPr="0014215D" w:rsidRDefault="007243BD" w:rsidP="0014215D">
      <w:pPr>
        <w:rPr>
          <w:rFonts w:ascii="Arial" w:hAnsi="Arial" w:cs="Arial"/>
          <w:color w:val="0000FF"/>
          <w:sz w:val="24"/>
          <w:szCs w:val="24"/>
        </w:rPr>
      </w:pPr>
      <w:r w:rsidRPr="0014215D">
        <w:rPr>
          <w:rFonts w:ascii="Arial" w:hAnsi="Arial" w:cs="Arial"/>
          <w:color w:val="0000FF"/>
          <w:sz w:val="24"/>
          <w:szCs w:val="24"/>
        </w:rPr>
        <w:lastRenderedPageBreak/>
        <w:t>It is estimated that the time it would take to locate, retrieve and extract the information requested would considerably exceed the appropriate limit for a FOIA request of £450 or 18 hours of staff time.</w:t>
      </w:r>
    </w:p>
    <w:p w14:paraId="71317CEE" w14:textId="77777777" w:rsidR="005A2643" w:rsidRPr="0014215D" w:rsidRDefault="007243BD" w:rsidP="0014215D">
      <w:pPr>
        <w:rPr>
          <w:rFonts w:ascii="Arial" w:hAnsi="Arial" w:cs="Arial"/>
          <w:color w:val="0000FF"/>
          <w:sz w:val="24"/>
          <w:szCs w:val="24"/>
        </w:rPr>
      </w:pPr>
      <w:r w:rsidRPr="0014215D">
        <w:rPr>
          <w:rFonts w:ascii="Arial" w:hAnsi="Arial" w:cs="Arial"/>
          <w:color w:val="0000FF"/>
          <w:sz w:val="24"/>
          <w:szCs w:val="24"/>
        </w:rPr>
        <w:t>Therefore, Leicester City Council considers that the exception contained in Regulation 12(4)(b) of the EIR is engaged.</w:t>
      </w:r>
    </w:p>
    <w:sectPr w:rsidR="005A2643" w:rsidRPr="00142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7FFB"/>
    <w:multiLevelType w:val="hybridMultilevel"/>
    <w:tmpl w:val="47D2CD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4E590E"/>
    <w:multiLevelType w:val="hybridMultilevel"/>
    <w:tmpl w:val="8E20D4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B">
      <w:start w:val="1"/>
      <w:numFmt w:val="lowerRoman"/>
      <w:lvlText w:val="%5."/>
      <w:lvlJc w:val="righ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C1603D2"/>
    <w:multiLevelType w:val="hybridMultilevel"/>
    <w:tmpl w:val="755A6D48"/>
    <w:lvl w:ilvl="0" w:tplc="0809001B">
      <w:start w:val="1"/>
      <w:numFmt w:val="lowerRoman"/>
      <w:lvlText w:val="%1."/>
      <w:lvlJc w:val="right"/>
      <w:pPr>
        <w:ind w:left="4680" w:hanging="360"/>
      </w:pPr>
    </w:lvl>
    <w:lvl w:ilvl="1" w:tplc="08090019">
      <w:start w:val="1"/>
      <w:numFmt w:val="lowerLetter"/>
      <w:lvlText w:val="%2."/>
      <w:lvlJc w:val="left"/>
      <w:pPr>
        <w:ind w:left="5400" w:hanging="360"/>
      </w:pPr>
    </w:lvl>
    <w:lvl w:ilvl="2" w:tplc="0809001B">
      <w:start w:val="1"/>
      <w:numFmt w:val="lowerRoman"/>
      <w:lvlText w:val="%3."/>
      <w:lvlJc w:val="right"/>
      <w:pPr>
        <w:ind w:left="6120" w:hanging="180"/>
      </w:pPr>
    </w:lvl>
    <w:lvl w:ilvl="3" w:tplc="0809000F">
      <w:start w:val="1"/>
      <w:numFmt w:val="decimal"/>
      <w:lvlText w:val="%4."/>
      <w:lvlJc w:val="left"/>
      <w:pPr>
        <w:ind w:left="6840" w:hanging="360"/>
      </w:pPr>
    </w:lvl>
    <w:lvl w:ilvl="4" w:tplc="08090019">
      <w:start w:val="1"/>
      <w:numFmt w:val="lowerLetter"/>
      <w:lvlText w:val="%5."/>
      <w:lvlJc w:val="left"/>
      <w:pPr>
        <w:ind w:left="7560" w:hanging="360"/>
      </w:pPr>
    </w:lvl>
    <w:lvl w:ilvl="5" w:tplc="0809001B">
      <w:start w:val="1"/>
      <w:numFmt w:val="lowerRoman"/>
      <w:lvlText w:val="%6."/>
      <w:lvlJc w:val="right"/>
      <w:pPr>
        <w:ind w:left="8280" w:hanging="180"/>
      </w:pPr>
    </w:lvl>
    <w:lvl w:ilvl="6" w:tplc="0809000F">
      <w:start w:val="1"/>
      <w:numFmt w:val="decimal"/>
      <w:lvlText w:val="%7."/>
      <w:lvlJc w:val="left"/>
      <w:pPr>
        <w:ind w:left="9000" w:hanging="360"/>
      </w:pPr>
    </w:lvl>
    <w:lvl w:ilvl="7" w:tplc="08090019">
      <w:start w:val="1"/>
      <w:numFmt w:val="lowerLetter"/>
      <w:lvlText w:val="%8."/>
      <w:lvlJc w:val="left"/>
      <w:pPr>
        <w:ind w:left="9720" w:hanging="360"/>
      </w:pPr>
    </w:lvl>
    <w:lvl w:ilvl="8" w:tplc="0809001B">
      <w:start w:val="1"/>
      <w:numFmt w:val="lowerRoman"/>
      <w:lvlText w:val="%9."/>
      <w:lvlJc w:val="right"/>
      <w:pPr>
        <w:ind w:left="104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43"/>
    <w:rsid w:val="0014215D"/>
    <w:rsid w:val="001B78FD"/>
    <w:rsid w:val="003C5A1D"/>
    <w:rsid w:val="005A2643"/>
    <w:rsid w:val="005C0180"/>
    <w:rsid w:val="007243BD"/>
    <w:rsid w:val="009D0710"/>
    <w:rsid w:val="00B43AEE"/>
    <w:rsid w:val="00BD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2B51"/>
  <w15:chartTrackingRefBased/>
  <w15:docId w15:val="{94D52AE2-8247-4664-A2F8-7AEFC2EB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43"/>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5A2643"/>
    <w:rPr>
      <w:color w:val="0563C1"/>
      <w:u w:val="single"/>
    </w:rPr>
  </w:style>
  <w:style w:type="character" w:customStyle="1" w:styleId="apple-style-span">
    <w:name w:val="apple-style-span"/>
    <w:rsid w:val="0072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datacommunities.org/slice?dataset=http%3A%2F%2Fopendatacommunities.org%2Fdata%2Fplanning%2Fdecisions%2Fmajor-and-minor-development-type%2Fall&amp;http%3A%2F%2Fopendatacommunities.org%2Fdef%2Fontology%2Fplanning%2Fdecisions%2Fmajor-and-minor-development-type%2Fall=http%3A%2F%2Fopendatacommunities.org%2Fdef%2Fconcept%2Fplanning%2Fdecisions%2Fmajor-and-minor-development-type%2Fall%2FmajorDecisionsNumberGran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Pravina Chandarana</dc:creator>
  <cp:keywords/>
  <dc:description/>
  <cp:lastModifiedBy>Pravina Chandarana</cp:lastModifiedBy>
  <cp:revision>2</cp:revision>
  <dcterms:created xsi:type="dcterms:W3CDTF">2020-02-24T10:40:00Z</dcterms:created>
  <dcterms:modified xsi:type="dcterms:W3CDTF">2020-02-24T10:40:00Z</dcterms:modified>
</cp:coreProperties>
</file>