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BBF7" w14:textId="77777777" w:rsidR="005F7962" w:rsidRDefault="005F7962">
      <w:pPr>
        <w:pStyle w:val="BodyText"/>
        <w:spacing w:before="3"/>
        <w:rPr>
          <w:rFonts w:ascii="Times New Roman"/>
          <w:sz w:val="21"/>
        </w:rPr>
      </w:pPr>
    </w:p>
    <w:p w14:paraId="1FB93F42" w14:textId="77777777" w:rsidR="005F7962" w:rsidRDefault="00471B4B" w:rsidP="00471B4B">
      <w:pPr>
        <w:pStyle w:val="Heading1"/>
        <w:ind w:left="0"/>
      </w:pPr>
      <w:r>
        <w:t>Freedom of Information Act 2000</w:t>
      </w:r>
    </w:p>
    <w:p w14:paraId="20BC87A4" w14:textId="77777777" w:rsidR="005F7962" w:rsidRDefault="005F7962">
      <w:pPr>
        <w:pStyle w:val="BodyText"/>
        <w:rPr>
          <w:b/>
        </w:rPr>
      </w:pPr>
    </w:p>
    <w:p w14:paraId="7BAC6F0C" w14:textId="77777777" w:rsidR="005F7962" w:rsidRDefault="00471B4B">
      <w:pPr>
        <w:pStyle w:val="BodyText"/>
        <w:ind w:left="120" w:right="1218"/>
      </w:pPr>
      <w:r>
        <w:t>Your request for information has now been considered. The Council holds the information requested.</w:t>
      </w:r>
    </w:p>
    <w:p w14:paraId="212D22B6" w14:textId="77777777" w:rsidR="005F7962" w:rsidRDefault="005F7962">
      <w:pPr>
        <w:pStyle w:val="BodyText"/>
      </w:pPr>
    </w:p>
    <w:p w14:paraId="5B9963A0" w14:textId="77777777" w:rsidR="005F7962" w:rsidRDefault="00471B4B">
      <w:pPr>
        <w:pStyle w:val="Heading1"/>
      </w:pPr>
      <w:r>
        <w:t>You asked for:</w:t>
      </w:r>
    </w:p>
    <w:p w14:paraId="268FE437" w14:textId="77777777" w:rsidR="005F7962" w:rsidRDefault="005F7962">
      <w:pPr>
        <w:pStyle w:val="BodyText"/>
        <w:rPr>
          <w:b/>
        </w:rPr>
      </w:pPr>
    </w:p>
    <w:p w14:paraId="7932EBD1" w14:textId="77777777" w:rsidR="005F7962" w:rsidRDefault="00471B4B">
      <w:pPr>
        <w:pStyle w:val="ListParagraph"/>
        <w:numPr>
          <w:ilvl w:val="0"/>
          <w:numId w:val="1"/>
        </w:numPr>
        <w:tabs>
          <w:tab w:val="left" w:pos="840"/>
        </w:tabs>
        <w:spacing w:before="0" w:line="252" w:lineRule="auto"/>
        <w:ind w:right="1153"/>
        <w:rPr>
          <w:b/>
          <w:sz w:val="24"/>
        </w:rPr>
      </w:pPr>
      <w:r>
        <w:rPr>
          <w:b/>
          <w:sz w:val="24"/>
        </w:rPr>
        <w:t>The current nu</w:t>
      </w:r>
      <w:r>
        <w:rPr>
          <w:b/>
          <w:sz w:val="24"/>
        </w:rPr>
        <w:t>mber of Blue Badge holders registered in your local authority</w:t>
      </w:r>
      <w:r>
        <w:rPr>
          <w:b/>
          <w:spacing w:val="-2"/>
          <w:sz w:val="24"/>
        </w:rPr>
        <w:t xml:space="preserve"> </w:t>
      </w:r>
      <w:r>
        <w:rPr>
          <w:b/>
          <w:sz w:val="24"/>
        </w:rPr>
        <w:t>area.</w:t>
      </w:r>
    </w:p>
    <w:p w14:paraId="318DA8F6" w14:textId="77777777" w:rsidR="005F7962" w:rsidRDefault="00471B4B">
      <w:pPr>
        <w:pStyle w:val="BodyText"/>
        <w:spacing w:before="160"/>
        <w:ind w:left="840"/>
      </w:pPr>
      <w:r>
        <w:rPr>
          <w:color w:val="0000FF"/>
        </w:rPr>
        <w:t>13573</w:t>
      </w:r>
    </w:p>
    <w:p w14:paraId="2297BEE9" w14:textId="77777777" w:rsidR="005F7962" w:rsidRDefault="005F7962">
      <w:pPr>
        <w:pStyle w:val="BodyText"/>
        <w:spacing w:before="1"/>
        <w:rPr>
          <w:sz w:val="25"/>
        </w:rPr>
      </w:pPr>
    </w:p>
    <w:p w14:paraId="3283A672" w14:textId="77777777" w:rsidR="005F7962" w:rsidRDefault="00471B4B">
      <w:pPr>
        <w:pStyle w:val="Heading1"/>
        <w:numPr>
          <w:ilvl w:val="0"/>
          <w:numId w:val="1"/>
        </w:numPr>
        <w:tabs>
          <w:tab w:val="left" w:pos="840"/>
        </w:tabs>
        <w:spacing w:before="1" w:line="252" w:lineRule="auto"/>
        <w:ind w:right="928"/>
      </w:pPr>
      <w:r>
        <w:t>The current number of dedicated Blue Badge parking spaces in your local authority</w:t>
      </w:r>
      <w:r>
        <w:rPr>
          <w:spacing w:val="-1"/>
        </w:rPr>
        <w:t xml:space="preserve"> </w:t>
      </w:r>
      <w:r>
        <w:t>area.</w:t>
      </w:r>
    </w:p>
    <w:p w14:paraId="7F9526EC" w14:textId="77777777" w:rsidR="005F7962" w:rsidRDefault="005F7962">
      <w:pPr>
        <w:pStyle w:val="BodyText"/>
        <w:spacing w:before="2"/>
        <w:rPr>
          <w:b/>
          <w:sz w:val="25"/>
        </w:rPr>
      </w:pPr>
    </w:p>
    <w:p w14:paraId="18031ED4" w14:textId="77777777" w:rsidR="005F7962" w:rsidRDefault="00471B4B">
      <w:pPr>
        <w:pStyle w:val="BodyText"/>
        <w:ind w:left="840" w:right="525"/>
      </w:pPr>
      <w:r>
        <w:rPr>
          <w:color w:val="0000FF"/>
        </w:rPr>
        <w:t>There are 68 disabled parking bays on street (approximately 140 spaces). (Please note: Disabled parking bays vary in length and spaces available in a parking bay will also vary depending on the length of the vehicles parked).</w:t>
      </w:r>
    </w:p>
    <w:p w14:paraId="4AC25E7E" w14:textId="77777777" w:rsidR="005F7962" w:rsidRDefault="005F7962">
      <w:pPr>
        <w:pStyle w:val="BodyText"/>
      </w:pPr>
    </w:p>
    <w:p w14:paraId="1DAFD973" w14:textId="77777777" w:rsidR="005F7962" w:rsidRDefault="00471B4B">
      <w:pPr>
        <w:pStyle w:val="BodyText"/>
        <w:spacing w:before="1"/>
        <w:ind w:left="840" w:right="725"/>
      </w:pPr>
      <w:r>
        <w:rPr>
          <w:color w:val="0000FF"/>
        </w:rPr>
        <w:t>There are 81 Blue Badge parki</w:t>
      </w:r>
      <w:r>
        <w:rPr>
          <w:color w:val="0000FF"/>
        </w:rPr>
        <w:t>ng spaces located off street in local authority car parks.</w:t>
      </w:r>
    </w:p>
    <w:p w14:paraId="7E35C3CD" w14:textId="77777777" w:rsidR="005F7962" w:rsidRDefault="005F7962">
      <w:pPr>
        <w:pStyle w:val="BodyText"/>
        <w:spacing w:before="11"/>
        <w:rPr>
          <w:sz w:val="23"/>
        </w:rPr>
      </w:pPr>
    </w:p>
    <w:p w14:paraId="6FA5840F" w14:textId="77777777" w:rsidR="005F7962" w:rsidRDefault="00471B4B">
      <w:pPr>
        <w:pStyle w:val="BodyText"/>
        <w:ind w:left="840" w:right="525"/>
      </w:pPr>
      <w:r>
        <w:rPr>
          <w:color w:val="0000FF"/>
        </w:rPr>
        <w:t>The Council have temporarily removed approximately 8 disabled parking spaces from Granby Street in the City Centre as a result of the introduction of an emergency pop-up cycle lane and increased s</w:t>
      </w:r>
      <w:r>
        <w:rPr>
          <w:color w:val="0000FF"/>
        </w:rPr>
        <w:t>pace to allow pedestrians to follow social distancing guidelines.</w:t>
      </w:r>
    </w:p>
    <w:p w14:paraId="3BC82591" w14:textId="77777777" w:rsidR="005F7962" w:rsidRDefault="005F7962">
      <w:pPr>
        <w:pStyle w:val="BodyText"/>
      </w:pPr>
    </w:p>
    <w:p w14:paraId="0855F7BB" w14:textId="77777777" w:rsidR="005F7962" w:rsidRDefault="00471B4B">
      <w:pPr>
        <w:pStyle w:val="BodyText"/>
        <w:ind w:left="840" w:right="738"/>
      </w:pPr>
      <w:r>
        <w:rPr>
          <w:color w:val="0000FF"/>
        </w:rPr>
        <w:t>No alternative provision has been made as free parking is also available for Blue Badge holders to park in all pay and display bays and council run car parks in the city. These are availabl</w:t>
      </w:r>
      <w:r>
        <w:rPr>
          <w:color w:val="0000FF"/>
        </w:rPr>
        <w:t>e on several side streets in the area where spaces have been removed.</w:t>
      </w:r>
    </w:p>
    <w:p w14:paraId="650D826B" w14:textId="77777777" w:rsidR="005F7962" w:rsidRDefault="005F7962">
      <w:pPr>
        <w:pStyle w:val="BodyText"/>
      </w:pPr>
    </w:p>
    <w:p w14:paraId="525139A2" w14:textId="77777777" w:rsidR="005F7962" w:rsidRDefault="00471B4B">
      <w:pPr>
        <w:pStyle w:val="BodyText"/>
        <w:ind w:left="840" w:right="778"/>
      </w:pPr>
      <w:r>
        <w:rPr>
          <w:color w:val="0000FF"/>
        </w:rPr>
        <w:t>Valid Blue Badge holders can also park for 3 hours on single/double yellow lines Please refer to guidelines set out in the Blue badge booklet or by the website:</w:t>
      </w:r>
    </w:p>
    <w:p w14:paraId="111CD1DF" w14:textId="77777777" w:rsidR="005F7962" w:rsidRDefault="005F7962">
      <w:pPr>
        <w:pStyle w:val="BodyText"/>
      </w:pPr>
    </w:p>
    <w:p w14:paraId="19AC1F92" w14:textId="77777777" w:rsidR="005F7962" w:rsidRDefault="00471B4B">
      <w:pPr>
        <w:pStyle w:val="BodyText"/>
        <w:ind w:left="840"/>
      </w:pPr>
      <w:hyperlink r:id="rId7">
        <w:r>
          <w:rPr>
            <w:color w:val="0000FF"/>
            <w:u w:val="single" w:color="0000FF"/>
          </w:rPr>
          <w:t>https://www.gov.uk/blue-badge-s</w:t>
        </w:r>
      </w:hyperlink>
      <w:r>
        <w:rPr>
          <w:color w:val="0000FF"/>
          <w:u w:val="single" w:color="0000FF"/>
        </w:rPr>
        <w:t>c</w:t>
      </w:r>
      <w:hyperlink r:id="rId8">
        <w:r>
          <w:rPr>
            <w:color w:val="0000FF"/>
            <w:u w:val="single" w:color="0000FF"/>
          </w:rPr>
          <w:t>heme-information-council</w:t>
        </w:r>
      </w:hyperlink>
    </w:p>
    <w:p w14:paraId="7B43E96B" w14:textId="77777777" w:rsidR="005F7962" w:rsidRDefault="005F7962">
      <w:pPr>
        <w:sectPr w:rsidR="005F7962">
          <w:footerReference w:type="default" r:id="rId9"/>
          <w:type w:val="continuous"/>
          <w:pgSz w:w="11910" w:h="16840"/>
          <w:pgMar w:top="1080" w:right="880" w:bottom="1340" w:left="1440" w:header="720" w:footer="1141" w:gutter="0"/>
          <w:cols w:space="720"/>
        </w:sectPr>
      </w:pPr>
    </w:p>
    <w:p w14:paraId="775EB5B7" w14:textId="77777777" w:rsidR="005F7962" w:rsidRDefault="00471B4B">
      <w:pPr>
        <w:pStyle w:val="Heading1"/>
        <w:numPr>
          <w:ilvl w:val="0"/>
          <w:numId w:val="1"/>
        </w:numPr>
        <w:tabs>
          <w:tab w:val="left" w:pos="840"/>
        </w:tabs>
        <w:spacing w:before="79" w:line="252" w:lineRule="auto"/>
        <w:ind w:right="1022"/>
      </w:pPr>
      <w:r>
        <w:lastRenderedPageBreak/>
        <w:t>The number of drivers who have received a fine for misusing a Blue Badge parking space in your local authority area, broken down by month for the years 2019 and 2020 to</w:t>
      </w:r>
      <w:r>
        <w:rPr>
          <w:spacing w:val="-6"/>
        </w:rPr>
        <w:t xml:space="preserve"> </w:t>
      </w:r>
      <w:r>
        <w:t>date.</w:t>
      </w:r>
    </w:p>
    <w:p w14:paraId="076E1376" w14:textId="77777777" w:rsidR="005F7962" w:rsidRDefault="005F7962">
      <w:pPr>
        <w:pStyle w:val="BodyText"/>
        <w:spacing w:before="2"/>
        <w:rPr>
          <w:b/>
          <w:sz w:val="25"/>
        </w:rPr>
      </w:pPr>
    </w:p>
    <w:p w14:paraId="24ED5196" w14:textId="77777777" w:rsidR="005F7962" w:rsidRDefault="00471B4B">
      <w:pPr>
        <w:pStyle w:val="BodyText"/>
        <w:spacing w:line="252" w:lineRule="auto"/>
        <w:ind w:left="839" w:right="579"/>
      </w:pPr>
      <w:r>
        <w:rPr>
          <w:color w:val="0000FF"/>
        </w:rPr>
        <w:t>Penalty Charge Notices issued by month for illegally parking in a Blue Badge par</w:t>
      </w:r>
      <w:r>
        <w:rPr>
          <w:color w:val="0000FF"/>
        </w:rPr>
        <w:t>king space on and off street:</w:t>
      </w:r>
    </w:p>
    <w:p w14:paraId="3F5FB86A" w14:textId="77777777" w:rsidR="005F7962" w:rsidRDefault="005F7962">
      <w:pPr>
        <w:pStyle w:val="BodyText"/>
        <w:rPr>
          <w:sz w:val="20"/>
        </w:rPr>
      </w:pPr>
    </w:p>
    <w:p w14:paraId="56329AF1" w14:textId="77777777" w:rsidR="005F7962" w:rsidRDefault="005F7962">
      <w:pPr>
        <w:pStyle w:val="BodyText"/>
        <w:rPr>
          <w:sz w:val="20"/>
        </w:rPr>
      </w:pPr>
    </w:p>
    <w:p w14:paraId="6E6EE09F" w14:textId="77777777" w:rsidR="005F7962" w:rsidRDefault="005F7962">
      <w:pPr>
        <w:pStyle w:val="BodyText"/>
        <w:spacing w:before="3"/>
        <w:rPr>
          <w:sz w:val="12"/>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1417"/>
        <w:gridCol w:w="851"/>
        <w:gridCol w:w="2551"/>
      </w:tblGrid>
      <w:tr w:rsidR="005F7962" w14:paraId="4962184F" w14:textId="77777777">
        <w:trPr>
          <w:trHeight w:val="740"/>
        </w:trPr>
        <w:tc>
          <w:tcPr>
            <w:tcW w:w="806" w:type="dxa"/>
          </w:tcPr>
          <w:p w14:paraId="2EAC2222" w14:textId="77777777" w:rsidR="005F7962" w:rsidRDefault="00471B4B">
            <w:pPr>
              <w:pStyle w:val="TableParagraph"/>
              <w:spacing w:before="1"/>
              <w:rPr>
                <w:b/>
                <w:sz w:val="24"/>
              </w:rPr>
            </w:pPr>
            <w:r>
              <w:rPr>
                <w:b/>
                <w:color w:val="0000FF"/>
                <w:sz w:val="24"/>
              </w:rPr>
              <w:t>2019</w:t>
            </w:r>
          </w:p>
        </w:tc>
        <w:tc>
          <w:tcPr>
            <w:tcW w:w="1417" w:type="dxa"/>
          </w:tcPr>
          <w:p w14:paraId="1CA63B42" w14:textId="77777777" w:rsidR="005F7962" w:rsidRDefault="00471B4B">
            <w:pPr>
              <w:pStyle w:val="TableParagraph"/>
              <w:spacing w:before="1"/>
              <w:ind w:left="106"/>
              <w:rPr>
                <w:b/>
                <w:sz w:val="24"/>
              </w:rPr>
            </w:pPr>
            <w:r>
              <w:rPr>
                <w:b/>
                <w:color w:val="0000FF"/>
                <w:sz w:val="24"/>
              </w:rPr>
              <w:t>PCN</w:t>
            </w:r>
          </w:p>
          <w:p w14:paraId="303C22B4" w14:textId="77777777" w:rsidR="005F7962" w:rsidRDefault="00471B4B">
            <w:pPr>
              <w:pStyle w:val="TableParagraph"/>
              <w:spacing w:before="13"/>
              <w:ind w:left="108"/>
              <w:rPr>
                <w:b/>
                <w:sz w:val="24"/>
              </w:rPr>
            </w:pPr>
            <w:r>
              <w:rPr>
                <w:b/>
                <w:color w:val="0000FF"/>
                <w:sz w:val="24"/>
              </w:rPr>
              <w:t>issued</w:t>
            </w:r>
          </w:p>
        </w:tc>
        <w:tc>
          <w:tcPr>
            <w:tcW w:w="851" w:type="dxa"/>
          </w:tcPr>
          <w:p w14:paraId="0E0C110F" w14:textId="77777777" w:rsidR="005F7962" w:rsidRDefault="00471B4B">
            <w:pPr>
              <w:pStyle w:val="TableParagraph"/>
              <w:spacing w:before="1"/>
              <w:rPr>
                <w:b/>
                <w:sz w:val="24"/>
              </w:rPr>
            </w:pPr>
            <w:r>
              <w:rPr>
                <w:b/>
                <w:color w:val="0000FF"/>
                <w:sz w:val="24"/>
              </w:rPr>
              <w:t>2020</w:t>
            </w:r>
          </w:p>
        </w:tc>
        <w:tc>
          <w:tcPr>
            <w:tcW w:w="2551" w:type="dxa"/>
          </w:tcPr>
          <w:p w14:paraId="7FF732BA" w14:textId="77777777" w:rsidR="005F7962" w:rsidRDefault="00471B4B">
            <w:pPr>
              <w:pStyle w:val="TableParagraph"/>
              <w:spacing w:before="1"/>
              <w:rPr>
                <w:b/>
                <w:sz w:val="24"/>
              </w:rPr>
            </w:pPr>
            <w:r>
              <w:rPr>
                <w:b/>
                <w:color w:val="0000FF"/>
                <w:sz w:val="24"/>
              </w:rPr>
              <w:t>PCN issued</w:t>
            </w:r>
          </w:p>
        </w:tc>
      </w:tr>
      <w:tr w:rsidR="005F7962" w14:paraId="1AFFF488" w14:textId="77777777">
        <w:trPr>
          <w:trHeight w:val="449"/>
        </w:trPr>
        <w:tc>
          <w:tcPr>
            <w:tcW w:w="806" w:type="dxa"/>
          </w:tcPr>
          <w:p w14:paraId="534B6996" w14:textId="77777777" w:rsidR="005F7962" w:rsidRDefault="00471B4B">
            <w:pPr>
              <w:pStyle w:val="TableParagraph"/>
              <w:rPr>
                <w:b/>
                <w:sz w:val="24"/>
              </w:rPr>
            </w:pPr>
            <w:r>
              <w:rPr>
                <w:b/>
                <w:color w:val="0000FF"/>
                <w:sz w:val="24"/>
              </w:rPr>
              <w:t>Jan</w:t>
            </w:r>
          </w:p>
        </w:tc>
        <w:tc>
          <w:tcPr>
            <w:tcW w:w="1417" w:type="dxa"/>
          </w:tcPr>
          <w:p w14:paraId="0F1E85FF" w14:textId="77777777" w:rsidR="005F7962" w:rsidRDefault="00471B4B">
            <w:pPr>
              <w:pStyle w:val="TableParagraph"/>
              <w:ind w:left="108"/>
              <w:rPr>
                <w:sz w:val="24"/>
              </w:rPr>
            </w:pPr>
            <w:r>
              <w:rPr>
                <w:color w:val="0000FF"/>
                <w:sz w:val="24"/>
              </w:rPr>
              <w:t>436</w:t>
            </w:r>
          </w:p>
        </w:tc>
        <w:tc>
          <w:tcPr>
            <w:tcW w:w="851" w:type="dxa"/>
          </w:tcPr>
          <w:p w14:paraId="21074DB2" w14:textId="77777777" w:rsidR="005F7962" w:rsidRDefault="00471B4B">
            <w:pPr>
              <w:pStyle w:val="TableParagraph"/>
              <w:rPr>
                <w:b/>
                <w:sz w:val="24"/>
              </w:rPr>
            </w:pPr>
            <w:r>
              <w:rPr>
                <w:b/>
                <w:color w:val="0000FF"/>
                <w:sz w:val="24"/>
              </w:rPr>
              <w:t>Jan</w:t>
            </w:r>
          </w:p>
        </w:tc>
        <w:tc>
          <w:tcPr>
            <w:tcW w:w="2551" w:type="dxa"/>
          </w:tcPr>
          <w:p w14:paraId="303C7923" w14:textId="77777777" w:rsidR="005F7962" w:rsidRDefault="00471B4B">
            <w:pPr>
              <w:pStyle w:val="TableParagraph"/>
              <w:ind w:left="108"/>
              <w:rPr>
                <w:sz w:val="24"/>
              </w:rPr>
            </w:pPr>
            <w:r>
              <w:rPr>
                <w:color w:val="0000FF"/>
                <w:sz w:val="24"/>
              </w:rPr>
              <w:t>365</w:t>
            </w:r>
          </w:p>
        </w:tc>
      </w:tr>
      <w:tr w:rsidR="005F7962" w14:paraId="35757ECA" w14:textId="77777777">
        <w:trPr>
          <w:trHeight w:val="449"/>
        </w:trPr>
        <w:tc>
          <w:tcPr>
            <w:tcW w:w="806" w:type="dxa"/>
          </w:tcPr>
          <w:p w14:paraId="6854BD73" w14:textId="77777777" w:rsidR="005F7962" w:rsidRDefault="00471B4B">
            <w:pPr>
              <w:pStyle w:val="TableParagraph"/>
              <w:rPr>
                <w:b/>
                <w:sz w:val="24"/>
              </w:rPr>
            </w:pPr>
            <w:r>
              <w:rPr>
                <w:b/>
                <w:color w:val="0000FF"/>
                <w:sz w:val="24"/>
              </w:rPr>
              <w:t>Feb</w:t>
            </w:r>
          </w:p>
        </w:tc>
        <w:tc>
          <w:tcPr>
            <w:tcW w:w="1417" w:type="dxa"/>
          </w:tcPr>
          <w:p w14:paraId="15F4DFE3" w14:textId="77777777" w:rsidR="005F7962" w:rsidRDefault="00471B4B">
            <w:pPr>
              <w:pStyle w:val="TableParagraph"/>
              <w:ind w:left="108"/>
              <w:rPr>
                <w:sz w:val="24"/>
              </w:rPr>
            </w:pPr>
            <w:r>
              <w:rPr>
                <w:color w:val="0000FF"/>
                <w:sz w:val="24"/>
              </w:rPr>
              <w:t>487</w:t>
            </w:r>
          </w:p>
        </w:tc>
        <w:tc>
          <w:tcPr>
            <w:tcW w:w="851" w:type="dxa"/>
          </w:tcPr>
          <w:p w14:paraId="6E3DCBA6" w14:textId="77777777" w:rsidR="005F7962" w:rsidRDefault="00471B4B">
            <w:pPr>
              <w:pStyle w:val="TableParagraph"/>
              <w:rPr>
                <w:b/>
                <w:sz w:val="24"/>
              </w:rPr>
            </w:pPr>
            <w:r>
              <w:rPr>
                <w:b/>
                <w:color w:val="0000FF"/>
                <w:sz w:val="24"/>
              </w:rPr>
              <w:t>Feb</w:t>
            </w:r>
          </w:p>
        </w:tc>
        <w:tc>
          <w:tcPr>
            <w:tcW w:w="2551" w:type="dxa"/>
          </w:tcPr>
          <w:p w14:paraId="53BA8462" w14:textId="77777777" w:rsidR="005F7962" w:rsidRDefault="00471B4B">
            <w:pPr>
              <w:pStyle w:val="TableParagraph"/>
              <w:ind w:left="108"/>
              <w:rPr>
                <w:sz w:val="24"/>
              </w:rPr>
            </w:pPr>
            <w:r>
              <w:rPr>
                <w:color w:val="0000FF"/>
                <w:sz w:val="24"/>
              </w:rPr>
              <w:t>341</w:t>
            </w:r>
          </w:p>
        </w:tc>
      </w:tr>
      <w:tr w:rsidR="005F7962" w14:paraId="1C8530D4" w14:textId="77777777">
        <w:trPr>
          <w:trHeight w:val="449"/>
        </w:trPr>
        <w:tc>
          <w:tcPr>
            <w:tcW w:w="806" w:type="dxa"/>
          </w:tcPr>
          <w:p w14:paraId="778DE764" w14:textId="77777777" w:rsidR="005F7962" w:rsidRDefault="00471B4B">
            <w:pPr>
              <w:pStyle w:val="TableParagraph"/>
              <w:rPr>
                <w:b/>
                <w:sz w:val="24"/>
              </w:rPr>
            </w:pPr>
            <w:r>
              <w:rPr>
                <w:b/>
                <w:color w:val="0000FF"/>
                <w:sz w:val="24"/>
              </w:rPr>
              <w:t>Mar</w:t>
            </w:r>
          </w:p>
        </w:tc>
        <w:tc>
          <w:tcPr>
            <w:tcW w:w="1417" w:type="dxa"/>
          </w:tcPr>
          <w:p w14:paraId="19F2E9A2" w14:textId="77777777" w:rsidR="005F7962" w:rsidRDefault="00471B4B">
            <w:pPr>
              <w:pStyle w:val="TableParagraph"/>
              <w:ind w:left="108"/>
              <w:rPr>
                <w:sz w:val="24"/>
              </w:rPr>
            </w:pPr>
            <w:r>
              <w:rPr>
                <w:color w:val="0000FF"/>
                <w:sz w:val="24"/>
              </w:rPr>
              <w:t>553</w:t>
            </w:r>
          </w:p>
        </w:tc>
        <w:tc>
          <w:tcPr>
            <w:tcW w:w="851" w:type="dxa"/>
          </w:tcPr>
          <w:p w14:paraId="16F99A89" w14:textId="77777777" w:rsidR="005F7962" w:rsidRDefault="00471B4B">
            <w:pPr>
              <w:pStyle w:val="TableParagraph"/>
              <w:rPr>
                <w:b/>
                <w:sz w:val="24"/>
              </w:rPr>
            </w:pPr>
            <w:r>
              <w:rPr>
                <w:b/>
                <w:color w:val="0000FF"/>
                <w:sz w:val="24"/>
              </w:rPr>
              <w:t>Mar</w:t>
            </w:r>
          </w:p>
        </w:tc>
        <w:tc>
          <w:tcPr>
            <w:tcW w:w="2551" w:type="dxa"/>
          </w:tcPr>
          <w:p w14:paraId="00AA3378" w14:textId="77777777" w:rsidR="005F7962" w:rsidRDefault="00471B4B">
            <w:pPr>
              <w:pStyle w:val="TableParagraph"/>
              <w:ind w:left="108"/>
              <w:rPr>
                <w:sz w:val="24"/>
              </w:rPr>
            </w:pPr>
            <w:r>
              <w:rPr>
                <w:color w:val="0000FF"/>
                <w:sz w:val="24"/>
              </w:rPr>
              <w:t>244</w:t>
            </w:r>
          </w:p>
        </w:tc>
      </w:tr>
      <w:tr w:rsidR="005F7962" w14:paraId="100F3C5E" w14:textId="77777777">
        <w:trPr>
          <w:trHeight w:val="449"/>
        </w:trPr>
        <w:tc>
          <w:tcPr>
            <w:tcW w:w="806" w:type="dxa"/>
          </w:tcPr>
          <w:p w14:paraId="3CAEEB44" w14:textId="77777777" w:rsidR="005F7962" w:rsidRDefault="00471B4B">
            <w:pPr>
              <w:pStyle w:val="TableParagraph"/>
              <w:spacing w:before="1"/>
              <w:rPr>
                <w:b/>
                <w:sz w:val="24"/>
              </w:rPr>
            </w:pPr>
            <w:r>
              <w:rPr>
                <w:b/>
                <w:color w:val="0000FF"/>
                <w:sz w:val="24"/>
              </w:rPr>
              <w:t>Apr</w:t>
            </w:r>
          </w:p>
        </w:tc>
        <w:tc>
          <w:tcPr>
            <w:tcW w:w="1417" w:type="dxa"/>
          </w:tcPr>
          <w:p w14:paraId="1D84622A" w14:textId="77777777" w:rsidR="005F7962" w:rsidRDefault="00471B4B">
            <w:pPr>
              <w:pStyle w:val="TableParagraph"/>
              <w:spacing w:before="1"/>
              <w:ind w:left="108"/>
              <w:rPr>
                <w:sz w:val="24"/>
              </w:rPr>
            </w:pPr>
            <w:r>
              <w:rPr>
                <w:color w:val="0000FF"/>
                <w:sz w:val="24"/>
              </w:rPr>
              <w:t>426</w:t>
            </w:r>
          </w:p>
        </w:tc>
        <w:tc>
          <w:tcPr>
            <w:tcW w:w="851" w:type="dxa"/>
          </w:tcPr>
          <w:p w14:paraId="7AB6A7F1" w14:textId="77777777" w:rsidR="005F7962" w:rsidRDefault="00471B4B">
            <w:pPr>
              <w:pStyle w:val="TableParagraph"/>
              <w:spacing w:before="1"/>
              <w:rPr>
                <w:b/>
                <w:sz w:val="24"/>
              </w:rPr>
            </w:pPr>
            <w:r>
              <w:rPr>
                <w:b/>
                <w:color w:val="0000FF"/>
                <w:sz w:val="24"/>
              </w:rPr>
              <w:t>Apr</w:t>
            </w:r>
          </w:p>
        </w:tc>
        <w:tc>
          <w:tcPr>
            <w:tcW w:w="2551" w:type="dxa"/>
          </w:tcPr>
          <w:p w14:paraId="4C55BBB7" w14:textId="77777777" w:rsidR="005F7962" w:rsidRDefault="00471B4B">
            <w:pPr>
              <w:pStyle w:val="TableParagraph"/>
              <w:spacing w:before="1"/>
              <w:ind w:left="108"/>
              <w:rPr>
                <w:sz w:val="24"/>
              </w:rPr>
            </w:pPr>
            <w:r>
              <w:rPr>
                <w:color w:val="0000FF"/>
                <w:sz w:val="24"/>
              </w:rPr>
              <w:t>7</w:t>
            </w:r>
          </w:p>
        </w:tc>
      </w:tr>
      <w:tr w:rsidR="005F7962" w14:paraId="0BE11B21" w14:textId="77777777">
        <w:trPr>
          <w:trHeight w:val="450"/>
        </w:trPr>
        <w:tc>
          <w:tcPr>
            <w:tcW w:w="806" w:type="dxa"/>
          </w:tcPr>
          <w:p w14:paraId="338B904E" w14:textId="77777777" w:rsidR="005F7962" w:rsidRDefault="00471B4B">
            <w:pPr>
              <w:pStyle w:val="TableParagraph"/>
              <w:spacing w:before="1"/>
              <w:rPr>
                <w:b/>
                <w:sz w:val="24"/>
              </w:rPr>
            </w:pPr>
            <w:r>
              <w:rPr>
                <w:b/>
                <w:color w:val="0000FF"/>
                <w:sz w:val="24"/>
              </w:rPr>
              <w:t>May</w:t>
            </w:r>
          </w:p>
        </w:tc>
        <w:tc>
          <w:tcPr>
            <w:tcW w:w="1417" w:type="dxa"/>
          </w:tcPr>
          <w:p w14:paraId="0C2BD5FC" w14:textId="77777777" w:rsidR="005F7962" w:rsidRDefault="00471B4B">
            <w:pPr>
              <w:pStyle w:val="TableParagraph"/>
              <w:spacing w:before="1"/>
              <w:ind w:left="108"/>
              <w:rPr>
                <w:sz w:val="24"/>
              </w:rPr>
            </w:pPr>
            <w:r>
              <w:rPr>
                <w:color w:val="0000FF"/>
                <w:sz w:val="24"/>
              </w:rPr>
              <w:t>446</w:t>
            </w:r>
          </w:p>
        </w:tc>
        <w:tc>
          <w:tcPr>
            <w:tcW w:w="851" w:type="dxa"/>
          </w:tcPr>
          <w:p w14:paraId="08BCC944" w14:textId="77777777" w:rsidR="005F7962" w:rsidRDefault="00471B4B">
            <w:pPr>
              <w:pStyle w:val="TableParagraph"/>
              <w:spacing w:before="1"/>
              <w:rPr>
                <w:b/>
                <w:sz w:val="24"/>
              </w:rPr>
            </w:pPr>
            <w:r>
              <w:rPr>
                <w:b/>
                <w:color w:val="0000FF"/>
                <w:sz w:val="24"/>
              </w:rPr>
              <w:t>May</w:t>
            </w:r>
          </w:p>
        </w:tc>
        <w:tc>
          <w:tcPr>
            <w:tcW w:w="2551" w:type="dxa"/>
          </w:tcPr>
          <w:p w14:paraId="4D81E954" w14:textId="77777777" w:rsidR="005F7962" w:rsidRDefault="00471B4B">
            <w:pPr>
              <w:pStyle w:val="TableParagraph"/>
              <w:spacing w:before="1"/>
              <w:ind w:left="108"/>
              <w:rPr>
                <w:sz w:val="24"/>
              </w:rPr>
            </w:pPr>
            <w:r>
              <w:rPr>
                <w:color w:val="0000FF"/>
                <w:sz w:val="24"/>
              </w:rPr>
              <w:t>15</w:t>
            </w:r>
          </w:p>
        </w:tc>
      </w:tr>
      <w:tr w:rsidR="005F7962" w14:paraId="0E07AE0D" w14:textId="77777777">
        <w:trPr>
          <w:trHeight w:val="449"/>
        </w:trPr>
        <w:tc>
          <w:tcPr>
            <w:tcW w:w="806" w:type="dxa"/>
          </w:tcPr>
          <w:p w14:paraId="55DA6BC5" w14:textId="77777777" w:rsidR="005F7962" w:rsidRDefault="00471B4B">
            <w:pPr>
              <w:pStyle w:val="TableParagraph"/>
              <w:rPr>
                <w:b/>
                <w:sz w:val="24"/>
              </w:rPr>
            </w:pPr>
            <w:r>
              <w:rPr>
                <w:b/>
                <w:color w:val="0000FF"/>
                <w:sz w:val="24"/>
              </w:rPr>
              <w:t>Jun</w:t>
            </w:r>
          </w:p>
        </w:tc>
        <w:tc>
          <w:tcPr>
            <w:tcW w:w="1417" w:type="dxa"/>
          </w:tcPr>
          <w:p w14:paraId="376559E8" w14:textId="77777777" w:rsidR="005F7962" w:rsidRDefault="00471B4B">
            <w:pPr>
              <w:pStyle w:val="TableParagraph"/>
              <w:ind w:left="108"/>
              <w:rPr>
                <w:sz w:val="24"/>
              </w:rPr>
            </w:pPr>
            <w:r>
              <w:rPr>
                <w:color w:val="0000FF"/>
                <w:sz w:val="24"/>
              </w:rPr>
              <w:t>364</w:t>
            </w:r>
          </w:p>
        </w:tc>
        <w:tc>
          <w:tcPr>
            <w:tcW w:w="851" w:type="dxa"/>
          </w:tcPr>
          <w:p w14:paraId="4636DDFE" w14:textId="77777777" w:rsidR="005F7962" w:rsidRDefault="00471B4B">
            <w:pPr>
              <w:pStyle w:val="TableParagraph"/>
              <w:rPr>
                <w:b/>
                <w:sz w:val="24"/>
              </w:rPr>
            </w:pPr>
            <w:r>
              <w:rPr>
                <w:b/>
                <w:color w:val="0000FF"/>
                <w:sz w:val="24"/>
              </w:rPr>
              <w:t>Jun</w:t>
            </w:r>
          </w:p>
        </w:tc>
        <w:tc>
          <w:tcPr>
            <w:tcW w:w="2551" w:type="dxa"/>
          </w:tcPr>
          <w:p w14:paraId="41EF2267" w14:textId="77777777" w:rsidR="005F7962" w:rsidRDefault="00471B4B">
            <w:pPr>
              <w:pStyle w:val="TableParagraph"/>
              <w:ind w:left="108"/>
              <w:rPr>
                <w:sz w:val="24"/>
              </w:rPr>
            </w:pPr>
            <w:r>
              <w:rPr>
                <w:color w:val="0000FF"/>
                <w:sz w:val="24"/>
              </w:rPr>
              <w:t>85</w:t>
            </w:r>
          </w:p>
        </w:tc>
      </w:tr>
      <w:tr w:rsidR="005F7962" w14:paraId="68B433A2" w14:textId="77777777">
        <w:trPr>
          <w:trHeight w:val="449"/>
        </w:trPr>
        <w:tc>
          <w:tcPr>
            <w:tcW w:w="806" w:type="dxa"/>
          </w:tcPr>
          <w:p w14:paraId="57ACDA06" w14:textId="77777777" w:rsidR="005F7962" w:rsidRDefault="00471B4B">
            <w:pPr>
              <w:pStyle w:val="TableParagraph"/>
              <w:rPr>
                <w:b/>
                <w:sz w:val="24"/>
              </w:rPr>
            </w:pPr>
            <w:r>
              <w:rPr>
                <w:b/>
                <w:color w:val="0000FF"/>
                <w:sz w:val="24"/>
              </w:rPr>
              <w:t>Jul</w:t>
            </w:r>
          </w:p>
        </w:tc>
        <w:tc>
          <w:tcPr>
            <w:tcW w:w="1417" w:type="dxa"/>
          </w:tcPr>
          <w:p w14:paraId="1D3505F4" w14:textId="77777777" w:rsidR="005F7962" w:rsidRDefault="00471B4B">
            <w:pPr>
              <w:pStyle w:val="TableParagraph"/>
              <w:ind w:left="108"/>
              <w:rPr>
                <w:sz w:val="24"/>
              </w:rPr>
            </w:pPr>
            <w:r>
              <w:rPr>
                <w:color w:val="0000FF"/>
                <w:sz w:val="24"/>
              </w:rPr>
              <w:t>382</w:t>
            </w:r>
          </w:p>
        </w:tc>
        <w:tc>
          <w:tcPr>
            <w:tcW w:w="851" w:type="dxa"/>
          </w:tcPr>
          <w:p w14:paraId="16321917" w14:textId="77777777" w:rsidR="005F7962" w:rsidRDefault="005F7962">
            <w:pPr>
              <w:pStyle w:val="TableParagraph"/>
              <w:ind w:left="0"/>
              <w:rPr>
                <w:rFonts w:ascii="Times New Roman"/>
              </w:rPr>
            </w:pPr>
          </w:p>
        </w:tc>
        <w:tc>
          <w:tcPr>
            <w:tcW w:w="2551" w:type="dxa"/>
          </w:tcPr>
          <w:p w14:paraId="1AF94AB8" w14:textId="77777777" w:rsidR="005F7962" w:rsidRDefault="005F7962">
            <w:pPr>
              <w:pStyle w:val="TableParagraph"/>
              <w:ind w:left="0"/>
              <w:rPr>
                <w:rFonts w:ascii="Times New Roman"/>
              </w:rPr>
            </w:pPr>
          </w:p>
        </w:tc>
      </w:tr>
      <w:tr w:rsidR="005F7962" w14:paraId="07CEF7CC" w14:textId="77777777">
        <w:trPr>
          <w:trHeight w:val="449"/>
        </w:trPr>
        <w:tc>
          <w:tcPr>
            <w:tcW w:w="806" w:type="dxa"/>
          </w:tcPr>
          <w:p w14:paraId="642DAFEE" w14:textId="77777777" w:rsidR="005F7962" w:rsidRDefault="00471B4B">
            <w:pPr>
              <w:pStyle w:val="TableParagraph"/>
              <w:rPr>
                <w:b/>
                <w:sz w:val="24"/>
              </w:rPr>
            </w:pPr>
            <w:r>
              <w:rPr>
                <w:b/>
                <w:color w:val="0000FF"/>
                <w:sz w:val="24"/>
              </w:rPr>
              <w:t>Aug</w:t>
            </w:r>
          </w:p>
        </w:tc>
        <w:tc>
          <w:tcPr>
            <w:tcW w:w="1417" w:type="dxa"/>
          </w:tcPr>
          <w:p w14:paraId="47C334BF" w14:textId="77777777" w:rsidR="005F7962" w:rsidRDefault="00471B4B">
            <w:pPr>
              <w:pStyle w:val="TableParagraph"/>
              <w:ind w:left="108"/>
              <w:rPr>
                <w:sz w:val="24"/>
              </w:rPr>
            </w:pPr>
            <w:r>
              <w:rPr>
                <w:color w:val="0000FF"/>
                <w:sz w:val="24"/>
              </w:rPr>
              <w:t>391</w:t>
            </w:r>
          </w:p>
        </w:tc>
        <w:tc>
          <w:tcPr>
            <w:tcW w:w="851" w:type="dxa"/>
          </w:tcPr>
          <w:p w14:paraId="26CB63D2" w14:textId="77777777" w:rsidR="005F7962" w:rsidRDefault="005F7962">
            <w:pPr>
              <w:pStyle w:val="TableParagraph"/>
              <w:ind w:left="0"/>
              <w:rPr>
                <w:rFonts w:ascii="Times New Roman"/>
              </w:rPr>
            </w:pPr>
          </w:p>
        </w:tc>
        <w:tc>
          <w:tcPr>
            <w:tcW w:w="2551" w:type="dxa"/>
          </w:tcPr>
          <w:p w14:paraId="63C1405C" w14:textId="77777777" w:rsidR="005F7962" w:rsidRDefault="005F7962">
            <w:pPr>
              <w:pStyle w:val="TableParagraph"/>
              <w:ind w:left="0"/>
              <w:rPr>
                <w:rFonts w:ascii="Times New Roman"/>
              </w:rPr>
            </w:pPr>
          </w:p>
        </w:tc>
      </w:tr>
      <w:tr w:rsidR="005F7962" w14:paraId="7EC72A65" w14:textId="77777777">
        <w:trPr>
          <w:trHeight w:val="449"/>
        </w:trPr>
        <w:tc>
          <w:tcPr>
            <w:tcW w:w="806" w:type="dxa"/>
          </w:tcPr>
          <w:p w14:paraId="2A04EF94" w14:textId="77777777" w:rsidR="005F7962" w:rsidRDefault="00471B4B">
            <w:pPr>
              <w:pStyle w:val="TableParagraph"/>
              <w:rPr>
                <w:b/>
                <w:sz w:val="24"/>
              </w:rPr>
            </w:pPr>
            <w:r>
              <w:rPr>
                <w:b/>
                <w:color w:val="0000FF"/>
                <w:sz w:val="24"/>
              </w:rPr>
              <w:t>Sept</w:t>
            </w:r>
          </w:p>
        </w:tc>
        <w:tc>
          <w:tcPr>
            <w:tcW w:w="1417" w:type="dxa"/>
          </w:tcPr>
          <w:p w14:paraId="1A67C986" w14:textId="77777777" w:rsidR="005F7962" w:rsidRDefault="00471B4B">
            <w:pPr>
              <w:pStyle w:val="TableParagraph"/>
              <w:ind w:left="108"/>
              <w:rPr>
                <w:sz w:val="24"/>
              </w:rPr>
            </w:pPr>
            <w:r>
              <w:rPr>
                <w:color w:val="0000FF"/>
                <w:sz w:val="24"/>
              </w:rPr>
              <w:t>389</w:t>
            </w:r>
          </w:p>
        </w:tc>
        <w:tc>
          <w:tcPr>
            <w:tcW w:w="851" w:type="dxa"/>
          </w:tcPr>
          <w:p w14:paraId="1AAADB78" w14:textId="77777777" w:rsidR="005F7962" w:rsidRDefault="005F7962">
            <w:pPr>
              <w:pStyle w:val="TableParagraph"/>
              <w:ind w:left="0"/>
              <w:rPr>
                <w:rFonts w:ascii="Times New Roman"/>
              </w:rPr>
            </w:pPr>
          </w:p>
        </w:tc>
        <w:tc>
          <w:tcPr>
            <w:tcW w:w="2551" w:type="dxa"/>
          </w:tcPr>
          <w:p w14:paraId="27B25081" w14:textId="77777777" w:rsidR="005F7962" w:rsidRDefault="005F7962">
            <w:pPr>
              <w:pStyle w:val="TableParagraph"/>
              <w:ind w:left="0"/>
              <w:rPr>
                <w:rFonts w:ascii="Times New Roman"/>
              </w:rPr>
            </w:pPr>
          </w:p>
        </w:tc>
      </w:tr>
      <w:tr w:rsidR="005F7962" w14:paraId="3F40AE34" w14:textId="77777777">
        <w:trPr>
          <w:trHeight w:val="449"/>
        </w:trPr>
        <w:tc>
          <w:tcPr>
            <w:tcW w:w="806" w:type="dxa"/>
          </w:tcPr>
          <w:p w14:paraId="39B2541C" w14:textId="77777777" w:rsidR="005F7962" w:rsidRDefault="00471B4B">
            <w:pPr>
              <w:pStyle w:val="TableParagraph"/>
              <w:rPr>
                <w:b/>
                <w:sz w:val="24"/>
              </w:rPr>
            </w:pPr>
            <w:r>
              <w:rPr>
                <w:b/>
                <w:color w:val="0000FF"/>
                <w:sz w:val="24"/>
              </w:rPr>
              <w:t>Oct</w:t>
            </w:r>
          </w:p>
        </w:tc>
        <w:tc>
          <w:tcPr>
            <w:tcW w:w="1417" w:type="dxa"/>
          </w:tcPr>
          <w:p w14:paraId="095193E9" w14:textId="77777777" w:rsidR="005F7962" w:rsidRDefault="00471B4B">
            <w:pPr>
              <w:pStyle w:val="TableParagraph"/>
              <w:ind w:left="108"/>
              <w:rPr>
                <w:sz w:val="24"/>
              </w:rPr>
            </w:pPr>
            <w:r>
              <w:rPr>
                <w:color w:val="0000FF"/>
                <w:sz w:val="24"/>
              </w:rPr>
              <w:t>369</w:t>
            </w:r>
          </w:p>
        </w:tc>
        <w:tc>
          <w:tcPr>
            <w:tcW w:w="851" w:type="dxa"/>
          </w:tcPr>
          <w:p w14:paraId="19A40E0A" w14:textId="77777777" w:rsidR="005F7962" w:rsidRDefault="005F7962">
            <w:pPr>
              <w:pStyle w:val="TableParagraph"/>
              <w:ind w:left="0"/>
              <w:rPr>
                <w:rFonts w:ascii="Times New Roman"/>
              </w:rPr>
            </w:pPr>
          </w:p>
        </w:tc>
        <w:tc>
          <w:tcPr>
            <w:tcW w:w="2551" w:type="dxa"/>
          </w:tcPr>
          <w:p w14:paraId="45BB588B" w14:textId="77777777" w:rsidR="005F7962" w:rsidRDefault="005F7962">
            <w:pPr>
              <w:pStyle w:val="TableParagraph"/>
              <w:ind w:left="0"/>
              <w:rPr>
                <w:rFonts w:ascii="Times New Roman"/>
              </w:rPr>
            </w:pPr>
          </w:p>
        </w:tc>
      </w:tr>
      <w:tr w:rsidR="005F7962" w14:paraId="7CC28BCB" w14:textId="77777777">
        <w:trPr>
          <w:trHeight w:val="449"/>
        </w:trPr>
        <w:tc>
          <w:tcPr>
            <w:tcW w:w="806" w:type="dxa"/>
          </w:tcPr>
          <w:p w14:paraId="2F67D556" w14:textId="77777777" w:rsidR="005F7962" w:rsidRDefault="00471B4B">
            <w:pPr>
              <w:pStyle w:val="TableParagraph"/>
              <w:spacing w:before="1"/>
              <w:rPr>
                <w:b/>
                <w:sz w:val="24"/>
              </w:rPr>
            </w:pPr>
            <w:r>
              <w:rPr>
                <w:b/>
                <w:color w:val="0000FF"/>
                <w:sz w:val="24"/>
              </w:rPr>
              <w:t>Nov</w:t>
            </w:r>
          </w:p>
        </w:tc>
        <w:tc>
          <w:tcPr>
            <w:tcW w:w="1417" w:type="dxa"/>
          </w:tcPr>
          <w:p w14:paraId="3D7012EB" w14:textId="77777777" w:rsidR="005F7962" w:rsidRDefault="00471B4B">
            <w:pPr>
              <w:pStyle w:val="TableParagraph"/>
              <w:spacing w:before="1"/>
              <w:ind w:left="108"/>
              <w:rPr>
                <w:sz w:val="24"/>
              </w:rPr>
            </w:pPr>
            <w:r>
              <w:rPr>
                <w:color w:val="0000FF"/>
                <w:sz w:val="24"/>
              </w:rPr>
              <w:t>383</w:t>
            </w:r>
          </w:p>
        </w:tc>
        <w:tc>
          <w:tcPr>
            <w:tcW w:w="851" w:type="dxa"/>
          </w:tcPr>
          <w:p w14:paraId="0F929093" w14:textId="77777777" w:rsidR="005F7962" w:rsidRDefault="005F7962">
            <w:pPr>
              <w:pStyle w:val="TableParagraph"/>
              <w:ind w:left="0"/>
              <w:rPr>
                <w:rFonts w:ascii="Times New Roman"/>
              </w:rPr>
            </w:pPr>
          </w:p>
        </w:tc>
        <w:tc>
          <w:tcPr>
            <w:tcW w:w="2551" w:type="dxa"/>
          </w:tcPr>
          <w:p w14:paraId="04C10AA8" w14:textId="77777777" w:rsidR="005F7962" w:rsidRDefault="005F7962">
            <w:pPr>
              <w:pStyle w:val="TableParagraph"/>
              <w:ind w:left="0"/>
              <w:rPr>
                <w:rFonts w:ascii="Times New Roman"/>
              </w:rPr>
            </w:pPr>
          </w:p>
        </w:tc>
      </w:tr>
      <w:tr w:rsidR="005F7962" w14:paraId="03C3483D" w14:textId="77777777">
        <w:trPr>
          <w:trHeight w:val="450"/>
        </w:trPr>
        <w:tc>
          <w:tcPr>
            <w:tcW w:w="806" w:type="dxa"/>
          </w:tcPr>
          <w:p w14:paraId="4E79F6DD" w14:textId="77777777" w:rsidR="005F7962" w:rsidRDefault="00471B4B">
            <w:pPr>
              <w:pStyle w:val="TableParagraph"/>
              <w:spacing w:before="1"/>
              <w:rPr>
                <w:b/>
                <w:sz w:val="24"/>
              </w:rPr>
            </w:pPr>
            <w:r>
              <w:rPr>
                <w:b/>
                <w:color w:val="0000FF"/>
                <w:sz w:val="24"/>
              </w:rPr>
              <w:t>Dec</w:t>
            </w:r>
          </w:p>
        </w:tc>
        <w:tc>
          <w:tcPr>
            <w:tcW w:w="1417" w:type="dxa"/>
          </w:tcPr>
          <w:p w14:paraId="38004989" w14:textId="77777777" w:rsidR="005F7962" w:rsidRDefault="00471B4B">
            <w:pPr>
              <w:pStyle w:val="TableParagraph"/>
              <w:spacing w:before="1"/>
              <w:ind w:left="108"/>
              <w:rPr>
                <w:sz w:val="24"/>
              </w:rPr>
            </w:pPr>
            <w:r>
              <w:rPr>
                <w:color w:val="0000FF"/>
                <w:sz w:val="24"/>
              </w:rPr>
              <w:t>407</w:t>
            </w:r>
          </w:p>
        </w:tc>
        <w:tc>
          <w:tcPr>
            <w:tcW w:w="851" w:type="dxa"/>
          </w:tcPr>
          <w:p w14:paraId="7E11F105" w14:textId="77777777" w:rsidR="005F7962" w:rsidRDefault="005F7962">
            <w:pPr>
              <w:pStyle w:val="TableParagraph"/>
              <w:ind w:left="0"/>
              <w:rPr>
                <w:rFonts w:ascii="Times New Roman"/>
              </w:rPr>
            </w:pPr>
          </w:p>
        </w:tc>
        <w:tc>
          <w:tcPr>
            <w:tcW w:w="2551" w:type="dxa"/>
          </w:tcPr>
          <w:p w14:paraId="11584E5F" w14:textId="77777777" w:rsidR="005F7962" w:rsidRDefault="005F7962">
            <w:pPr>
              <w:pStyle w:val="TableParagraph"/>
              <w:ind w:left="0"/>
              <w:rPr>
                <w:rFonts w:ascii="Times New Roman"/>
              </w:rPr>
            </w:pPr>
          </w:p>
        </w:tc>
      </w:tr>
      <w:tr w:rsidR="005F7962" w14:paraId="79C1CD4F" w14:textId="77777777">
        <w:trPr>
          <w:trHeight w:val="449"/>
        </w:trPr>
        <w:tc>
          <w:tcPr>
            <w:tcW w:w="806" w:type="dxa"/>
          </w:tcPr>
          <w:p w14:paraId="75B708B3" w14:textId="77777777" w:rsidR="005F7962" w:rsidRDefault="00471B4B">
            <w:pPr>
              <w:pStyle w:val="TableParagraph"/>
              <w:rPr>
                <w:b/>
                <w:sz w:val="24"/>
              </w:rPr>
            </w:pPr>
            <w:r>
              <w:rPr>
                <w:b/>
                <w:color w:val="0000FF"/>
                <w:sz w:val="24"/>
              </w:rPr>
              <w:t>Total</w:t>
            </w:r>
          </w:p>
        </w:tc>
        <w:tc>
          <w:tcPr>
            <w:tcW w:w="1417" w:type="dxa"/>
          </w:tcPr>
          <w:p w14:paraId="09D5B23E" w14:textId="77777777" w:rsidR="005F7962" w:rsidRDefault="00471B4B">
            <w:pPr>
              <w:pStyle w:val="TableParagraph"/>
              <w:ind w:left="108"/>
              <w:rPr>
                <w:b/>
                <w:sz w:val="24"/>
              </w:rPr>
            </w:pPr>
            <w:r>
              <w:rPr>
                <w:b/>
                <w:color w:val="0000FF"/>
                <w:sz w:val="24"/>
              </w:rPr>
              <w:t>5033</w:t>
            </w:r>
          </w:p>
        </w:tc>
        <w:tc>
          <w:tcPr>
            <w:tcW w:w="851" w:type="dxa"/>
          </w:tcPr>
          <w:p w14:paraId="6623A7B3" w14:textId="77777777" w:rsidR="005F7962" w:rsidRDefault="00471B4B">
            <w:pPr>
              <w:pStyle w:val="TableParagraph"/>
              <w:ind w:left="106"/>
              <w:rPr>
                <w:b/>
                <w:sz w:val="24"/>
              </w:rPr>
            </w:pPr>
            <w:r>
              <w:rPr>
                <w:b/>
                <w:color w:val="0000FF"/>
                <w:sz w:val="24"/>
              </w:rPr>
              <w:t>Total</w:t>
            </w:r>
          </w:p>
        </w:tc>
        <w:tc>
          <w:tcPr>
            <w:tcW w:w="2551" w:type="dxa"/>
          </w:tcPr>
          <w:p w14:paraId="00E55A31" w14:textId="77777777" w:rsidR="005F7962" w:rsidRDefault="00471B4B">
            <w:pPr>
              <w:pStyle w:val="TableParagraph"/>
              <w:ind w:left="108"/>
              <w:rPr>
                <w:b/>
                <w:sz w:val="24"/>
              </w:rPr>
            </w:pPr>
            <w:r>
              <w:rPr>
                <w:b/>
                <w:color w:val="0000FF"/>
                <w:sz w:val="24"/>
              </w:rPr>
              <w:t>1057</w:t>
            </w:r>
          </w:p>
        </w:tc>
      </w:tr>
    </w:tbl>
    <w:p w14:paraId="1AEE42CB" w14:textId="77777777" w:rsidR="005F7962" w:rsidRDefault="005F7962">
      <w:pPr>
        <w:pStyle w:val="BodyText"/>
        <w:spacing w:before="3"/>
        <w:rPr>
          <w:sz w:val="17"/>
        </w:rPr>
      </w:pPr>
    </w:p>
    <w:p w14:paraId="418524C3" w14:textId="77777777" w:rsidR="005F7962" w:rsidRDefault="00471B4B">
      <w:pPr>
        <w:pStyle w:val="Heading1"/>
        <w:numPr>
          <w:ilvl w:val="0"/>
          <w:numId w:val="1"/>
        </w:numPr>
        <w:tabs>
          <w:tab w:val="left" w:pos="840"/>
        </w:tabs>
        <w:spacing w:before="92" w:line="252" w:lineRule="auto"/>
        <w:ind w:right="663"/>
        <w:jc w:val="both"/>
      </w:pPr>
      <w:r>
        <w:t>The number of new parking spaces build in your local authority area in the last 12 months, and how many of these were dedicated Blue Badge parking</w:t>
      </w:r>
      <w:r>
        <w:rPr>
          <w:spacing w:val="-2"/>
        </w:rPr>
        <w:t xml:space="preserve"> </w:t>
      </w:r>
      <w:r>
        <w:t>spaces.</w:t>
      </w:r>
    </w:p>
    <w:p w14:paraId="2BE01D77" w14:textId="77777777" w:rsidR="005F7962" w:rsidRDefault="005F7962">
      <w:pPr>
        <w:pStyle w:val="BodyText"/>
        <w:spacing w:before="11"/>
        <w:rPr>
          <w:b/>
          <w:sz w:val="23"/>
        </w:rPr>
      </w:pPr>
    </w:p>
    <w:p w14:paraId="4FD722CA" w14:textId="77777777" w:rsidR="005F7962" w:rsidRDefault="00471B4B">
      <w:pPr>
        <w:pStyle w:val="BodyText"/>
        <w:spacing w:line="252" w:lineRule="auto"/>
        <w:ind w:left="840" w:right="631"/>
      </w:pPr>
      <w:r>
        <w:rPr>
          <w:color w:val="0000FF"/>
        </w:rPr>
        <w:t>During the Financial year 2019/2020, the Council created 45 parking bays, 3 of which were for disabl</w:t>
      </w:r>
      <w:r>
        <w:rPr>
          <w:color w:val="0000FF"/>
        </w:rPr>
        <w:t>ed use.</w:t>
      </w:r>
    </w:p>
    <w:p w14:paraId="0B5E80F1" w14:textId="77777777" w:rsidR="005F7962" w:rsidRDefault="00471B4B">
      <w:pPr>
        <w:pStyle w:val="BodyText"/>
        <w:spacing w:before="160" w:line="252" w:lineRule="auto"/>
        <w:ind w:left="840" w:right="618"/>
      </w:pPr>
      <w:r>
        <w:rPr>
          <w:color w:val="0000FF"/>
        </w:rPr>
        <w:t>Other than the above, there have been no significant changes over the past 12 months. However, due to the recent pandemic, temporary pedestrian and cycle lanes have been introduced which will currently affect access to some parking spaces in and ar</w:t>
      </w:r>
      <w:r>
        <w:rPr>
          <w:color w:val="0000FF"/>
        </w:rPr>
        <w:t>ound Leicester.</w:t>
      </w:r>
    </w:p>
    <w:p w14:paraId="4385640F" w14:textId="77777777" w:rsidR="005F7962" w:rsidRDefault="00471B4B">
      <w:pPr>
        <w:pStyle w:val="BodyText"/>
        <w:spacing w:before="159" w:line="252" w:lineRule="auto"/>
        <w:ind w:left="840" w:right="925"/>
      </w:pPr>
      <w:r>
        <w:rPr>
          <w:color w:val="0000FF"/>
        </w:rPr>
        <w:t>The number of new or existing parking spaces available may also change due to ongoing, planned or future infrastructure developments.</w:t>
      </w:r>
    </w:p>
    <w:p w14:paraId="6F5C6A5D" w14:textId="77777777" w:rsidR="005F7962" w:rsidRDefault="005F7962">
      <w:pPr>
        <w:spacing w:line="252" w:lineRule="auto"/>
        <w:sectPr w:rsidR="005F7962">
          <w:pgSz w:w="11910" w:h="16840"/>
          <w:pgMar w:top="1340" w:right="880" w:bottom="1340" w:left="1440" w:header="0" w:footer="1141" w:gutter="0"/>
          <w:cols w:space="720"/>
        </w:sectPr>
      </w:pPr>
    </w:p>
    <w:p w14:paraId="47696699" w14:textId="77777777" w:rsidR="005F7962" w:rsidRDefault="00471B4B">
      <w:pPr>
        <w:pStyle w:val="Heading1"/>
        <w:numPr>
          <w:ilvl w:val="0"/>
          <w:numId w:val="1"/>
        </w:numPr>
        <w:tabs>
          <w:tab w:val="left" w:pos="840"/>
        </w:tabs>
        <w:spacing w:before="79" w:line="252" w:lineRule="auto"/>
        <w:ind w:right="1101"/>
      </w:pPr>
      <w:r>
        <w:lastRenderedPageBreak/>
        <w:t>The number of Blue Badge applications received under the ‘hidden disability’ criteria in the past 12</w:t>
      </w:r>
      <w:r>
        <w:rPr>
          <w:spacing w:val="-3"/>
        </w:rPr>
        <w:t xml:space="preserve"> </w:t>
      </w:r>
      <w:r>
        <w:t>months.</w:t>
      </w:r>
    </w:p>
    <w:p w14:paraId="3191DC51" w14:textId="77777777" w:rsidR="005F7962" w:rsidRDefault="005F7962">
      <w:pPr>
        <w:pStyle w:val="BodyText"/>
        <w:spacing w:before="1"/>
        <w:rPr>
          <w:b/>
          <w:sz w:val="25"/>
        </w:rPr>
      </w:pPr>
    </w:p>
    <w:p w14:paraId="43BDD602" w14:textId="77777777" w:rsidR="005F7962" w:rsidRDefault="00471B4B">
      <w:pPr>
        <w:pStyle w:val="BodyText"/>
        <w:ind w:left="840"/>
      </w:pPr>
      <w:r>
        <w:rPr>
          <w:color w:val="0000FF"/>
        </w:rPr>
        <w:t>368</w:t>
      </w:r>
    </w:p>
    <w:p w14:paraId="64C7E89C" w14:textId="77777777" w:rsidR="005F7962" w:rsidRDefault="00471B4B">
      <w:pPr>
        <w:pStyle w:val="Heading1"/>
        <w:spacing w:before="174"/>
      </w:pPr>
      <w:r>
        <w:t xml:space="preserve">If limited by time constraints, please </w:t>
      </w:r>
      <w:proofErr w:type="spellStart"/>
      <w:r>
        <w:t>prioritise</w:t>
      </w:r>
      <w:proofErr w:type="spellEnd"/>
      <w:r>
        <w:t xml:space="preserve"> in order of Q1, Q2, Q3, Q4, Q5.</w:t>
      </w:r>
    </w:p>
    <w:p w14:paraId="6433995D" w14:textId="77777777" w:rsidR="005F7962" w:rsidRDefault="005F7962">
      <w:pPr>
        <w:pStyle w:val="BodyText"/>
        <w:rPr>
          <w:b/>
        </w:rPr>
      </w:pPr>
    </w:p>
    <w:p w14:paraId="2A8F65D2" w14:textId="77777777" w:rsidR="005F7962" w:rsidRDefault="00471B4B">
      <w:pPr>
        <w:ind w:left="120" w:right="1155"/>
        <w:rPr>
          <w:b/>
          <w:sz w:val="24"/>
        </w:rPr>
      </w:pPr>
      <w:r>
        <w:rPr>
          <w:b/>
          <w:sz w:val="24"/>
        </w:rPr>
        <w:t>If possible, it would be really appreciated if you’re able to point me in the direction of your current Blue Badge eligibility guidelines as well please.</w:t>
      </w:r>
    </w:p>
    <w:p w14:paraId="5A41E561" w14:textId="77777777" w:rsidR="005F7962" w:rsidRDefault="005F7962">
      <w:pPr>
        <w:pStyle w:val="BodyText"/>
        <w:rPr>
          <w:b/>
        </w:rPr>
      </w:pPr>
    </w:p>
    <w:p w14:paraId="2D09AE01" w14:textId="77777777" w:rsidR="005F7962" w:rsidRDefault="00471B4B">
      <w:pPr>
        <w:pStyle w:val="BodyText"/>
        <w:ind w:left="120" w:right="1528"/>
      </w:pPr>
      <w:hyperlink r:id="rId10">
        <w:r>
          <w:rPr>
            <w:color w:val="0000FF"/>
            <w:u w:val="single" w:color="0000FF"/>
          </w:rPr>
          <w:t>https://www.gov.uk/government/publication</w:t>
        </w:r>
      </w:hyperlink>
      <w:r>
        <w:rPr>
          <w:color w:val="0000FF"/>
          <w:u w:val="single" w:color="0000FF"/>
        </w:rPr>
        <w:t>s</w:t>
      </w:r>
      <w:hyperlink r:id="rId11">
        <w:r>
          <w:rPr>
            <w:color w:val="0000FF"/>
            <w:u w:val="single" w:color="0000FF"/>
          </w:rPr>
          <w:t>/the-blue-badge-sch</w:t>
        </w:r>
      </w:hyperlink>
      <w:r>
        <w:rPr>
          <w:color w:val="0000FF"/>
          <w:u w:val="single" w:color="0000FF"/>
        </w:rPr>
        <w:t>em</w:t>
      </w:r>
      <w:hyperlink r:id="rId12">
        <w:r>
          <w:rPr>
            <w:color w:val="0000FF"/>
            <w:u w:val="single" w:color="0000FF"/>
          </w:rPr>
          <w:t>e-local-</w:t>
        </w:r>
      </w:hyperlink>
      <w:r>
        <w:rPr>
          <w:color w:val="0000FF"/>
        </w:rPr>
        <w:t xml:space="preserve"> </w:t>
      </w:r>
      <w:r>
        <w:rPr>
          <w:color w:val="0000FF"/>
          <w:u w:val="single" w:color="0000FF"/>
        </w:rPr>
        <w:t>authority-guidance-</w:t>
      </w:r>
      <w:proofErr w:type="spellStart"/>
      <w:r>
        <w:rPr>
          <w:color w:val="0000FF"/>
          <w:u w:val="single" w:color="0000FF"/>
        </w:rPr>
        <w:t>england</w:t>
      </w:r>
      <w:proofErr w:type="spellEnd"/>
      <w:r>
        <w:rPr>
          <w:color w:val="0000FF"/>
          <w:u w:val="single" w:color="0000FF"/>
        </w:rPr>
        <w:t>/blue-badge</w:t>
      </w:r>
    </w:p>
    <w:p w14:paraId="67652830" w14:textId="77777777" w:rsidR="005F7962" w:rsidRDefault="005F7962">
      <w:pPr>
        <w:pStyle w:val="BodyText"/>
        <w:rPr>
          <w:sz w:val="16"/>
        </w:rPr>
      </w:pPr>
    </w:p>
    <w:p w14:paraId="2EC3B2BF" w14:textId="77777777" w:rsidR="005F7962" w:rsidRDefault="00471B4B">
      <w:pPr>
        <w:pStyle w:val="BodyText"/>
        <w:spacing w:before="93"/>
        <w:ind w:left="120"/>
      </w:pPr>
      <w:r>
        <w:t xml:space="preserve">You may re-use the information under an </w:t>
      </w:r>
      <w:r>
        <w:rPr>
          <w:color w:val="0000FF"/>
          <w:u w:val="single" w:color="0000FF"/>
        </w:rPr>
        <w:t xml:space="preserve">Open Government </w:t>
      </w:r>
      <w:proofErr w:type="spellStart"/>
      <w:r>
        <w:rPr>
          <w:color w:val="0000FF"/>
          <w:u w:val="single" w:color="0000FF"/>
        </w:rPr>
        <w:t>Licence</w:t>
      </w:r>
      <w:proofErr w:type="spellEnd"/>
      <w:r>
        <w:t>.</w:t>
      </w:r>
    </w:p>
    <w:p w14:paraId="24AD2626" w14:textId="77777777" w:rsidR="005F7962" w:rsidRDefault="005F7962">
      <w:pPr>
        <w:pStyle w:val="BodyText"/>
        <w:spacing w:before="11"/>
        <w:rPr>
          <w:sz w:val="15"/>
        </w:rPr>
      </w:pPr>
    </w:p>
    <w:p w14:paraId="219D54B3" w14:textId="77777777" w:rsidR="005F7962" w:rsidRDefault="00471B4B">
      <w:pPr>
        <w:pStyle w:val="BodyText"/>
        <w:spacing w:before="92"/>
        <w:ind w:left="120"/>
      </w:pPr>
      <w:r>
        <w:t xml:space="preserve">If you are dissatisfied with the handling of your </w:t>
      </w:r>
      <w:proofErr w:type="gramStart"/>
      <w:r>
        <w:t>request</w:t>
      </w:r>
      <w:proofErr w:type="gramEnd"/>
      <w:r>
        <w:t xml:space="preserve"> please write to:</w:t>
      </w:r>
    </w:p>
    <w:p w14:paraId="2BC72926" w14:textId="77777777" w:rsidR="005F7962" w:rsidRDefault="005F7962">
      <w:pPr>
        <w:pStyle w:val="BodyText"/>
      </w:pPr>
    </w:p>
    <w:p w14:paraId="128273A5" w14:textId="77777777" w:rsidR="005F7962" w:rsidRDefault="00471B4B">
      <w:pPr>
        <w:pStyle w:val="BodyText"/>
        <w:ind w:left="120" w:right="5435"/>
      </w:pPr>
      <w:r>
        <w:t>Informa</w:t>
      </w:r>
      <w:r>
        <w:t>tion Governance &amp; Risk Team Leicester City Council</w:t>
      </w:r>
    </w:p>
    <w:p w14:paraId="319B3671" w14:textId="77777777" w:rsidR="005F7962" w:rsidRDefault="00471B4B">
      <w:pPr>
        <w:pStyle w:val="BodyText"/>
        <w:spacing w:before="5" w:line="235" w:lineRule="auto"/>
        <w:ind w:left="120" w:right="7559"/>
      </w:pPr>
      <w:proofErr w:type="gramStart"/>
      <w:r>
        <w:t>Legal  Services</w:t>
      </w:r>
      <w:proofErr w:type="gramEnd"/>
      <w:r>
        <w:t xml:space="preserve"> 4</w:t>
      </w:r>
      <w:proofErr w:type="spellStart"/>
      <w:r>
        <w:rPr>
          <w:position w:val="8"/>
          <w:sz w:val="16"/>
        </w:rPr>
        <w:t>th</w:t>
      </w:r>
      <w:proofErr w:type="spellEnd"/>
      <w:r>
        <w:rPr>
          <w:position w:val="8"/>
          <w:sz w:val="16"/>
        </w:rPr>
        <w:t xml:space="preserve"> </w:t>
      </w:r>
      <w:r>
        <w:t>Floor, City</w:t>
      </w:r>
      <w:r>
        <w:rPr>
          <w:spacing w:val="-14"/>
        </w:rPr>
        <w:t xml:space="preserve"> </w:t>
      </w:r>
      <w:r>
        <w:t>Hall</w:t>
      </w:r>
    </w:p>
    <w:p w14:paraId="2A845B0E" w14:textId="77777777" w:rsidR="005F7962" w:rsidRDefault="00471B4B">
      <w:pPr>
        <w:pStyle w:val="BodyText"/>
        <w:spacing w:before="1"/>
        <w:ind w:left="120" w:right="7448"/>
      </w:pPr>
      <w:r>
        <w:t>115 Charles Street Leicester LE1 1FZ</w:t>
      </w:r>
    </w:p>
    <w:p w14:paraId="32A5DEEF" w14:textId="77777777" w:rsidR="005F7962" w:rsidRDefault="00471B4B">
      <w:pPr>
        <w:pStyle w:val="BodyText"/>
        <w:ind w:left="120"/>
      </w:pPr>
      <w:r>
        <w:t>e-mail:</w:t>
      </w:r>
      <w:r>
        <w:rPr>
          <w:color w:val="0000FF"/>
        </w:rPr>
        <w:t xml:space="preserve"> </w:t>
      </w:r>
      <w:hyperlink r:id="rId13">
        <w:r>
          <w:rPr>
            <w:color w:val="0000FF"/>
            <w:u w:val="single" w:color="0000FF"/>
          </w:rPr>
          <w:t>info.requests@leicester.gov.uk</w:t>
        </w:r>
      </w:hyperlink>
    </w:p>
    <w:p w14:paraId="20664F2B" w14:textId="77777777" w:rsidR="005F7962" w:rsidRDefault="005F7962">
      <w:pPr>
        <w:pStyle w:val="BodyText"/>
        <w:rPr>
          <w:sz w:val="16"/>
        </w:rPr>
      </w:pPr>
    </w:p>
    <w:p w14:paraId="46FFBEE4" w14:textId="77D0EB1D" w:rsidR="005F7962" w:rsidRDefault="005F7962">
      <w:pPr>
        <w:pStyle w:val="BodyText"/>
        <w:ind w:left="120" w:right="672"/>
      </w:pPr>
      <w:bookmarkStart w:id="0" w:name="_GoBack"/>
      <w:bookmarkEnd w:id="0"/>
    </w:p>
    <w:sectPr w:rsidR="005F7962">
      <w:pgSz w:w="11910" w:h="16840"/>
      <w:pgMar w:top="1340" w:right="880" w:bottom="1340" w:left="1440" w:header="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C34E" w14:textId="77777777" w:rsidR="00000000" w:rsidRDefault="00471B4B">
      <w:r>
        <w:separator/>
      </w:r>
    </w:p>
  </w:endnote>
  <w:endnote w:type="continuationSeparator" w:id="0">
    <w:p w14:paraId="4DF4F36A" w14:textId="77777777" w:rsidR="00000000" w:rsidRDefault="0047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51A1" w14:textId="141601A6" w:rsidR="005F7962" w:rsidRDefault="005F79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CA71" w14:textId="77777777" w:rsidR="00000000" w:rsidRDefault="00471B4B">
      <w:r>
        <w:separator/>
      </w:r>
    </w:p>
  </w:footnote>
  <w:footnote w:type="continuationSeparator" w:id="0">
    <w:p w14:paraId="15973208" w14:textId="77777777" w:rsidR="00000000" w:rsidRDefault="0047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403"/>
    <w:multiLevelType w:val="hybridMultilevel"/>
    <w:tmpl w:val="F70C0EB2"/>
    <w:lvl w:ilvl="0" w:tplc="2FB22DA0">
      <w:start w:val="1"/>
      <w:numFmt w:val="decimal"/>
      <w:lvlText w:val="%1."/>
      <w:lvlJc w:val="left"/>
      <w:pPr>
        <w:ind w:left="840" w:hanging="360"/>
        <w:jc w:val="left"/>
      </w:pPr>
      <w:rPr>
        <w:rFonts w:ascii="Arial" w:eastAsia="Arial" w:hAnsi="Arial" w:cs="Arial" w:hint="default"/>
        <w:b/>
        <w:bCs/>
        <w:spacing w:val="-2"/>
        <w:w w:val="100"/>
        <w:sz w:val="24"/>
        <w:szCs w:val="24"/>
      </w:rPr>
    </w:lvl>
    <w:lvl w:ilvl="1" w:tplc="B9CC4C20">
      <w:numFmt w:val="bullet"/>
      <w:lvlText w:val="•"/>
      <w:lvlJc w:val="left"/>
      <w:pPr>
        <w:ind w:left="1714" w:hanging="360"/>
      </w:pPr>
      <w:rPr>
        <w:rFonts w:hint="default"/>
      </w:rPr>
    </w:lvl>
    <w:lvl w:ilvl="2" w:tplc="DCFE81D8">
      <w:numFmt w:val="bullet"/>
      <w:lvlText w:val="•"/>
      <w:lvlJc w:val="left"/>
      <w:pPr>
        <w:ind w:left="2588" w:hanging="360"/>
      </w:pPr>
      <w:rPr>
        <w:rFonts w:hint="default"/>
      </w:rPr>
    </w:lvl>
    <w:lvl w:ilvl="3" w:tplc="BB9A859C">
      <w:numFmt w:val="bullet"/>
      <w:lvlText w:val="•"/>
      <w:lvlJc w:val="left"/>
      <w:pPr>
        <w:ind w:left="3463" w:hanging="360"/>
      </w:pPr>
      <w:rPr>
        <w:rFonts w:hint="default"/>
      </w:rPr>
    </w:lvl>
    <w:lvl w:ilvl="4" w:tplc="500436EA">
      <w:numFmt w:val="bullet"/>
      <w:lvlText w:val="•"/>
      <w:lvlJc w:val="left"/>
      <w:pPr>
        <w:ind w:left="4337" w:hanging="360"/>
      </w:pPr>
      <w:rPr>
        <w:rFonts w:hint="default"/>
      </w:rPr>
    </w:lvl>
    <w:lvl w:ilvl="5" w:tplc="0708FF22">
      <w:numFmt w:val="bullet"/>
      <w:lvlText w:val="•"/>
      <w:lvlJc w:val="left"/>
      <w:pPr>
        <w:ind w:left="5212" w:hanging="360"/>
      </w:pPr>
      <w:rPr>
        <w:rFonts w:hint="default"/>
      </w:rPr>
    </w:lvl>
    <w:lvl w:ilvl="6" w:tplc="6B7E5106">
      <w:numFmt w:val="bullet"/>
      <w:lvlText w:val="•"/>
      <w:lvlJc w:val="left"/>
      <w:pPr>
        <w:ind w:left="6086" w:hanging="360"/>
      </w:pPr>
      <w:rPr>
        <w:rFonts w:hint="default"/>
      </w:rPr>
    </w:lvl>
    <w:lvl w:ilvl="7" w:tplc="DAC6756E">
      <w:numFmt w:val="bullet"/>
      <w:lvlText w:val="•"/>
      <w:lvlJc w:val="left"/>
      <w:pPr>
        <w:ind w:left="6961" w:hanging="360"/>
      </w:pPr>
      <w:rPr>
        <w:rFonts w:hint="default"/>
      </w:rPr>
    </w:lvl>
    <w:lvl w:ilvl="8" w:tplc="7B26BDDE">
      <w:numFmt w:val="bullet"/>
      <w:lvlText w:val="•"/>
      <w:lvlJc w:val="left"/>
      <w:pPr>
        <w:ind w:left="78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F7962"/>
    <w:rsid w:val="00471B4B"/>
    <w:rsid w:val="005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3D765"/>
  <w15:docId w15:val="{60314159-86D8-4EE1-8037-14BBB13B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840" w:right="66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71B4B"/>
    <w:pPr>
      <w:tabs>
        <w:tab w:val="center" w:pos="4513"/>
        <w:tab w:val="right" w:pos="9026"/>
      </w:tabs>
    </w:pPr>
  </w:style>
  <w:style w:type="character" w:customStyle="1" w:styleId="HeaderChar">
    <w:name w:val="Header Char"/>
    <w:basedOn w:val="DefaultParagraphFont"/>
    <w:link w:val="Header"/>
    <w:uiPriority w:val="99"/>
    <w:rsid w:val="00471B4B"/>
    <w:rPr>
      <w:rFonts w:ascii="Arial" w:eastAsia="Arial" w:hAnsi="Arial" w:cs="Arial"/>
    </w:rPr>
  </w:style>
  <w:style w:type="paragraph" w:styleId="Footer">
    <w:name w:val="footer"/>
    <w:basedOn w:val="Normal"/>
    <w:link w:val="FooterChar"/>
    <w:uiPriority w:val="99"/>
    <w:unhideWhenUsed/>
    <w:rsid w:val="00471B4B"/>
    <w:pPr>
      <w:tabs>
        <w:tab w:val="center" w:pos="4513"/>
        <w:tab w:val="right" w:pos="9026"/>
      </w:tabs>
    </w:pPr>
  </w:style>
  <w:style w:type="character" w:customStyle="1" w:styleId="FooterChar">
    <w:name w:val="Footer Char"/>
    <w:basedOn w:val="DefaultParagraphFont"/>
    <w:link w:val="Footer"/>
    <w:uiPriority w:val="99"/>
    <w:rsid w:val="00471B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blue-badge-scheme-information-council" TargetMode="External"/><Relationship Id="rId13" Type="http://schemas.openxmlformats.org/officeDocument/2006/relationships/hyperlink" Target="mailto:info.requests@leicester.gov.uk" TargetMode="External"/><Relationship Id="rId3" Type="http://schemas.openxmlformats.org/officeDocument/2006/relationships/settings" Target="settings.xml"/><Relationship Id="rId7" Type="http://schemas.openxmlformats.org/officeDocument/2006/relationships/hyperlink" Target="http://www.gov.uk/blue-badge-scheme-information-council" TargetMode="External"/><Relationship Id="rId12" Type="http://schemas.openxmlformats.org/officeDocument/2006/relationships/hyperlink" Target="http://www.gov.uk/government/publications/the-blue-badge-scheme-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the-blue-badge-scheme-loc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government/publications/the-blue-badge-scheme-loc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07 22 David 21127 - revised draft response</dc:title>
  <dc:creator>harri003</dc:creator>
  <cp:lastModifiedBy>Baljeet Kaur</cp:lastModifiedBy>
  <cp:revision>2</cp:revision>
  <dcterms:created xsi:type="dcterms:W3CDTF">2020-08-05T11:45:00Z</dcterms:created>
  <dcterms:modified xsi:type="dcterms:W3CDTF">2020-08-05T11:46:00Z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PScript5.dll Version 5.2.2</vt:lpwstr>
  </property>
  <property fmtid="{D5CDD505-2E9C-101B-9397-08002B2CF9AE}" pid="4" name="LastSaved">
    <vt:filetime>2020-08-05T00:00:00Z</vt:filetime>
  </property>
</Properties>
</file>