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85" w:type="dxa"/>
        <w:tblLook w:val="04A0" w:firstRow="1" w:lastRow="0" w:firstColumn="1" w:lastColumn="0" w:noHBand="0" w:noVBand="1"/>
      </w:tblPr>
      <w:tblGrid>
        <w:gridCol w:w="1393"/>
        <w:gridCol w:w="1462"/>
        <w:gridCol w:w="2243"/>
        <w:gridCol w:w="1560"/>
        <w:gridCol w:w="1842"/>
        <w:gridCol w:w="1985"/>
      </w:tblGrid>
      <w:tr w:rsidR="00E17064" w14:paraId="3FF038A9" w14:textId="77777777" w:rsidTr="00E17064">
        <w:tc>
          <w:tcPr>
            <w:tcW w:w="1393" w:type="dxa"/>
          </w:tcPr>
          <w:p w14:paraId="177519CC" w14:textId="77777777" w:rsidR="0014230D" w:rsidRDefault="0014230D"/>
        </w:tc>
        <w:tc>
          <w:tcPr>
            <w:tcW w:w="1462" w:type="dxa"/>
          </w:tcPr>
          <w:p w14:paraId="026B569E" w14:textId="5B18AED8" w:rsidR="0014230D" w:rsidRDefault="0014230D">
            <w:r>
              <w:t>Photocopiers</w:t>
            </w:r>
          </w:p>
        </w:tc>
        <w:tc>
          <w:tcPr>
            <w:tcW w:w="2243" w:type="dxa"/>
          </w:tcPr>
          <w:p w14:paraId="6AE6A504" w14:textId="428BD25D" w:rsidR="0014230D" w:rsidRDefault="0014230D">
            <w:r>
              <w:t xml:space="preserve">Printers </w:t>
            </w:r>
          </w:p>
        </w:tc>
        <w:tc>
          <w:tcPr>
            <w:tcW w:w="1560" w:type="dxa"/>
          </w:tcPr>
          <w:p w14:paraId="2D557E72" w14:textId="163EB1BF" w:rsidR="0014230D" w:rsidRDefault="0014230D">
            <w:r>
              <w:t>Desktop</w:t>
            </w:r>
          </w:p>
        </w:tc>
        <w:tc>
          <w:tcPr>
            <w:tcW w:w="1842" w:type="dxa"/>
          </w:tcPr>
          <w:p w14:paraId="43E0ACDC" w14:textId="10ECB3D7" w:rsidR="0014230D" w:rsidRDefault="0014230D">
            <w:r>
              <w:t>Laptops</w:t>
            </w:r>
          </w:p>
        </w:tc>
        <w:tc>
          <w:tcPr>
            <w:tcW w:w="1985" w:type="dxa"/>
          </w:tcPr>
          <w:p w14:paraId="1D545EC6" w14:textId="7AAA08CE" w:rsidR="0014230D" w:rsidRDefault="0014230D">
            <w:r>
              <w:t>Displays</w:t>
            </w:r>
          </w:p>
        </w:tc>
      </w:tr>
      <w:tr w:rsidR="00E17064" w14:paraId="39721884" w14:textId="77777777" w:rsidTr="00E17064">
        <w:tc>
          <w:tcPr>
            <w:tcW w:w="1393" w:type="dxa"/>
          </w:tcPr>
          <w:p w14:paraId="7DBA7A71" w14:textId="57E79BB5" w:rsidR="0014230D" w:rsidRDefault="0014230D">
            <w:r>
              <w:t>IT resellers</w:t>
            </w:r>
            <w:r w:rsidR="009070EA">
              <w:t xml:space="preserve"> have contacts with and purchase from </w:t>
            </w:r>
          </w:p>
        </w:tc>
        <w:tc>
          <w:tcPr>
            <w:tcW w:w="1462" w:type="dxa"/>
          </w:tcPr>
          <w:p w14:paraId="75F83317" w14:textId="7B610E3D" w:rsidR="0014230D" w:rsidRDefault="009070EA">
            <w:r>
              <w:t xml:space="preserve">Ricoh </w:t>
            </w:r>
          </w:p>
        </w:tc>
        <w:tc>
          <w:tcPr>
            <w:tcW w:w="2243" w:type="dxa"/>
          </w:tcPr>
          <w:p w14:paraId="07344DB0" w14:textId="10D24AC7" w:rsidR="009070EA" w:rsidRDefault="009070EA" w:rsidP="009070EA">
            <w:pPr>
              <w:rPr>
                <w:rFonts w:ascii="Calibri" w:hAnsi="Calibri" w:cs="Calibri"/>
                <w:color w:val="000000"/>
              </w:rPr>
            </w:pPr>
            <w:r>
              <w:rPr>
                <w:rFonts w:ascii="Calibri" w:hAnsi="Calibri" w:cs="Calibri"/>
                <w:color w:val="000000"/>
              </w:rPr>
              <w:t xml:space="preserve">CDW, Insight, </w:t>
            </w:r>
            <w:proofErr w:type="spellStart"/>
            <w:r>
              <w:rPr>
                <w:rFonts w:ascii="Calibri" w:hAnsi="Calibri" w:cs="Calibri"/>
                <w:color w:val="000000"/>
              </w:rPr>
              <w:t>Phoneix</w:t>
            </w:r>
            <w:proofErr w:type="spellEnd"/>
            <w:r>
              <w:rPr>
                <w:rFonts w:ascii="Calibri" w:hAnsi="Calibri" w:cs="Calibri"/>
                <w:color w:val="000000"/>
              </w:rPr>
              <w:t xml:space="preserve">, Total Computers, Example IT, CCS Media </w:t>
            </w:r>
            <w:proofErr w:type="spellStart"/>
            <w:r>
              <w:rPr>
                <w:rFonts w:ascii="Calibri" w:hAnsi="Calibri" w:cs="Calibri"/>
                <w:color w:val="000000"/>
              </w:rPr>
              <w:t>Boxee</w:t>
            </w:r>
            <w:proofErr w:type="spellEnd"/>
            <w:r>
              <w:rPr>
                <w:rFonts w:ascii="Calibri" w:hAnsi="Calibri" w:cs="Calibri"/>
                <w:color w:val="000000"/>
              </w:rPr>
              <w:t xml:space="preserve">, </w:t>
            </w:r>
            <w:proofErr w:type="spellStart"/>
            <w:r>
              <w:rPr>
                <w:rFonts w:ascii="Calibri" w:hAnsi="Calibri" w:cs="Calibri"/>
                <w:color w:val="000000"/>
              </w:rPr>
              <w:t>Softcat</w:t>
            </w:r>
            <w:proofErr w:type="spellEnd"/>
          </w:p>
          <w:p w14:paraId="4DCCE4E1" w14:textId="53CA8D33" w:rsidR="0014230D" w:rsidRDefault="0014230D"/>
        </w:tc>
        <w:tc>
          <w:tcPr>
            <w:tcW w:w="1560" w:type="dxa"/>
          </w:tcPr>
          <w:p w14:paraId="5C62F42C" w14:textId="77777777" w:rsidR="009070EA" w:rsidRDefault="009070EA" w:rsidP="009070EA">
            <w:pPr>
              <w:rPr>
                <w:rFonts w:ascii="Calibri" w:hAnsi="Calibri" w:cs="Calibri"/>
                <w:color w:val="000000"/>
              </w:rPr>
            </w:pPr>
            <w:r>
              <w:rPr>
                <w:rFonts w:ascii="Calibri" w:hAnsi="Calibri" w:cs="Calibri"/>
                <w:color w:val="000000"/>
              </w:rPr>
              <w:t xml:space="preserve">CDW, Circular, Insight, </w:t>
            </w:r>
            <w:proofErr w:type="spellStart"/>
            <w:r>
              <w:rPr>
                <w:rFonts w:ascii="Calibri" w:hAnsi="Calibri" w:cs="Calibri"/>
                <w:color w:val="000000"/>
              </w:rPr>
              <w:t>Phoneix</w:t>
            </w:r>
            <w:proofErr w:type="spellEnd"/>
            <w:r>
              <w:rPr>
                <w:rFonts w:ascii="Calibri" w:hAnsi="Calibri" w:cs="Calibri"/>
                <w:color w:val="000000"/>
              </w:rPr>
              <w:t xml:space="preserve">, Total Computers, Example IT, CCS Media </w:t>
            </w:r>
            <w:proofErr w:type="spellStart"/>
            <w:r>
              <w:rPr>
                <w:rFonts w:ascii="Calibri" w:hAnsi="Calibri" w:cs="Calibri"/>
                <w:color w:val="000000"/>
              </w:rPr>
              <w:t>Boxee</w:t>
            </w:r>
            <w:proofErr w:type="spellEnd"/>
          </w:p>
          <w:p w14:paraId="27B2EBF3" w14:textId="0B80845F" w:rsidR="009070EA" w:rsidRDefault="009070EA" w:rsidP="009070EA">
            <w:pPr>
              <w:rPr>
                <w:rFonts w:ascii="Calibri" w:hAnsi="Calibri" w:cs="Calibri"/>
                <w:color w:val="000000"/>
              </w:rPr>
            </w:pPr>
            <w:proofErr w:type="spellStart"/>
            <w:r>
              <w:rPr>
                <w:rFonts w:ascii="Calibri" w:hAnsi="Calibri" w:cs="Calibri"/>
                <w:color w:val="000000"/>
              </w:rPr>
              <w:t>Softcat</w:t>
            </w:r>
            <w:proofErr w:type="spellEnd"/>
          </w:p>
          <w:p w14:paraId="48755864" w14:textId="77777777" w:rsidR="0014230D" w:rsidRDefault="0014230D"/>
        </w:tc>
        <w:tc>
          <w:tcPr>
            <w:tcW w:w="1842" w:type="dxa"/>
          </w:tcPr>
          <w:p w14:paraId="1430B8C6" w14:textId="74240356" w:rsidR="009070EA" w:rsidRDefault="009070EA" w:rsidP="009070EA">
            <w:pPr>
              <w:rPr>
                <w:rFonts w:ascii="Calibri" w:hAnsi="Calibri" w:cs="Calibri"/>
                <w:color w:val="000000"/>
              </w:rPr>
            </w:pPr>
            <w:r>
              <w:rPr>
                <w:rFonts w:ascii="Calibri" w:hAnsi="Calibri" w:cs="Calibri"/>
                <w:color w:val="000000"/>
              </w:rPr>
              <w:t xml:space="preserve">CDW, Circular, Insight, </w:t>
            </w:r>
            <w:proofErr w:type="spellStart"/>
            <w:r>
              <w:rPr>
                <w:rFonts w:ascii="Calibri" w:hAnsi="Calibri" w:cs="Calibri"/>
                <w:color w:val="000000"/>
              </w:rPr>
              <w:t>Phoneix</w:t>
            </w:r>
            <w:proofErr w:type="spellEnd"/>
            <w:r>
              <w:rPr>
                <w:rFonts w:ascii="Calibri" w:hAnsi="Calibri" w:cs="Calibri"/>
                <w:color w:val="000000"/>
              </w:rPr>
              <w:t xml:space="preserve">, Total Computers, Example IT, CCS Media </w:t>
            </w:r>
            <w:proofErr w:type="spellStart"/>
            <w:r>
              <w:rPr>
                <w:rFonts w:ascii="Calibri" w:hAnsi="Calibri" w:cs="Calibri"/>
                <w:color w:val="000000"/>
              </w:rPr>
              <w:t>Boxee</w:t>
            </w:r>
            <w:proofErr w:type="spellEnd"/>
            <w:r>
              <w:rPr>
                <w:rFonts w:ascii="Calibri" w:hAnsi="Calibri" w:cs="Calibri"/>
                <w:color w:val="000000"/>
              </w:rPr>
              <w:t xml:space="preserve"> </w:t>
            </w:r>
            <w:proofErr w:type="spellStart"/>
            <w:r>
              <w:rPr>
                <w:rFonts w:ascii="Calibri" w:hAnsi="Calibri" w:cs="Calibri"/>
                <w:color w:val="000000"/>
              </w:rPr>
              <w:t>Softcat</w:t>
            </w:r>
            <w:proofErr w:type="spellEnd"/>
          </w:p>
          <w:p w14:paraId="58CCC733" w14:textId="77777777" w:rsidR="0014230D" w:rsidRDefault="0014230D"/>
        </w:tc>
        <w:tc>
          <w:tcPr>
            <w:tcW w:w="1985" w:type="dxa"/>
          </w:tcPr>
          <w:p w14:paraId="4B7EB188" w14:textId="6B4D5567" w:rsidR="009070EA" w:rsidRDefault="009070EA" w:rsidP="009070EA">
            <w:pPr>
              <w:rPr>
                <w:rFonts w:ascii="Calibri" w:hAnsi="Calibri" w:cs="Calibri"/>
                <w:color w:val="000000"/>
              </w:rPr>
            </w:pPr>
            <w:r>
              <w:rPr>
                <w:rFonts w:ascii="Calibri" w:hAnsi="Calibri" w:cs="Calibri"/>
                <w:color w:val="000000"/>
              </w:rPr>
              <w:t xml:space="preserve">CDW, Insight, </w:t>
            </w:r>
            <w:proofErr w:type="spellStart"/>
            <w:r>
              <w:rPr>
                <w:rFonts w:ascii="Calibri" w:hAnsi="Calibri" w:cs="Calibri"/>
                <w:color w:val="000000"/>
              </w:rPr>
              <w:t>Phoneix</w:t>
            </w:r>
            <w:proofErr w:type="spellEnd"/>
            <w:r>
              <w:rPr>
                <w:rFonts w:ascii="Calibri" w:hAnsi="Calibri" w:cs="Calibri"/>
                <w:color w:val="000000"/>
              </w:rPr>
              <w:t>, Total Computers, Example IT, CCS Media ,</w:t>
            </w:r>
            <w:proofErr w:type="spellStart"/>
            <w:r>
              <w:rPr>
                <w:rFonts w:ascii="Calibri" w:hAnsi="Calibri" w:cs="Calibri"/>
                <w:color w:val="000000"/>
              </w:rPr>
              <w:t>Boxee</w:t>
            </w:r>
            <w:proofErr w:type="spellEnd"/>
            <w:r>
              <w:rPr>
                <w:rFonts w:ascii="Calibri" w:hAnsi="Calibri" w:cs="Calibri"/>
                <w:color w:val="000000"/>
              </w:rPr>
              <w:t xml:space="preserve">, </w:t>
            </w:r>
            <w:proofErr w:type="spellStart"/>
            <w:r>
              <w:rPr>
                <w:rFonts w:ascii="Calibri" w:hAnsi="Calibri" w:cs="Calibri"/>
                <w:color w:val="000000"/>
              </w:rPr>
              <w:t>Softcat</w:t>
            </w:r>
            <w:proofErr w:type="spellEnd"/>
          </w:p>
          <w:p w14:paraId="4302C552" w14:textId="77777777" w:rsidR="0014230D" w:rsidRDefault="0014230D"/>
        </w:tc>
      </w:tr>
      <w:tr w:rsidR="00E17064" w14:paraId="44574AC1" w14:textId="77777777" w:rsidTr="00E17064">
        <w:tc>
          <w:tcPr>
            <w:tcW w:w="1393" w:type="dxa"/>
          </w:tcPr>
          <w:p w14:paraId="69234C14" w14:textId="391C9C83" w:rsidR="0014230D" w:rsidRDefault="0014230D">
            <w:r>
              <w:t>Length of contract &amp; End date</w:t>
            </w:r>
          </w:p>
        </w:tc>
        <w:tc>
          <w:tcPr>
            <w:tcW w:w="1462" w:type="dxa"/>
          </w:tcPr>
          <w:p w14:paraId="0A2A958D" w14:textId="3FF0BFA2" w:rsidR="0014230D" w:rsidRDefault="009070EA">
            <w:r>
              <w:t>8 years ends June 2024</w:t>
            </w:r>
          </w:p>
        </w:tc>
        <w:tc>
          <w:tcPr>
            <w:tcW w:w="2243" w:type="dxa"/>
          </w:tcPr>
          <w:p w14:paraId="1EB8067C" w14:textId="7ED33885" w:rsidR="0014230D" w:rsidRDefault="009070EA">
            <w:r w:rsidRPr="009070EA">
              <w:t>No Contract one off purchase as and when</w:t>
            </w:r>
          </w:p>
        </w:tc>
        <w:tc>
          <w:tcPr>
            <w:tcW w:w="1560" w:type="dxa"/>
          </w:tcPr>
          <w:p w14:paraId="14DD88BC" w14:textId="0D8DF5F0" w:rsidR="0014230D" w:rsidRDefault="009070EA">
            <w:r w:rsidRPr="009070EA">
              <w:t>No Contract one off purchase as and when</w:t>
            </w:r>
          </w:p>
        </w:tc>
        <w:tc>
          <w:tcPr>
            <w:tcW w:w="1842" w:type="dxa"/>
          </w:tcPr>
          <w:p w14:paraId="11D344EE" w14:textId="34698A83" w:rsidR="0014230D" w:rsidRDefault="009070EA">
            <w:r w:rsidRPr="009070EA">
              <w:t>No Contract one off purchase as and when</w:t>
            </w:r>
          </w:p>
        </w:tc>
        <w:tc>
          <w:tcPr>
            <w:tcW w:w="1985" w:type="dxa"/>
          </w:tcPr>
          <w:p w14:paraId="71080D83" w14:textId="5F0262DE" w:rsidR="0014230D" w:rsidRDefault="009070EA">
            <w:r w:rsidRPr="009070EA">
              <w:t>No Contract one off purchase as and when</w:t>
            </w:r>
          </w:p>
        </w:tc>
      </w:tr>
      <w:tr w:rsidR="00E17064" w14:paraId="0D087433" w14:textId="77777777" w:rsidTr="00E17064">
        <w:tc>
          <w:tcPr>
            <w:tcW w:w="1393" w:type="dxa"/>
          </w:tcPr>
          <w:p w14:paraId="63DBB4EA" w14:textId="3D6FB8EF" w:rsidR="0014230D" w:rsidRDefault="0014230D">
            <w:r>
              <w:t>Refresh Due (M/Y)</w:t>
            </w:r>
          </w:p>
        </w:tc>
        <w:tc>
          <w:tcPr>
            <w:tcW w:w="1462" w:type="dxa"/>
          </w:tcPr>
          <w:p w14:paraId="7EB856F0" w14:textId="26F3707C" w:rsidR="0014230D" w:rsidRDefault="009070EA">
            <w:r>
              <w:t>As a result of a procurement Process late 2024</w:t>
            </w:r>
          </w:p>
        </w:tc>
        <w:tc>
          <w:tcPr>
            <w:tcW w:w="2243" w:type="dxa"/>
          </w:tcPr>
          <w:p w14:paraId="00EC1E8A" w14:textId="4D7A933C" w:rsidR="0014230D" w:rsidRDefault="009070EA">
            <w:r>
              <w:t>N/A, only purchased when no longer fit for purpose and based on business need</w:t>
            </w:r>
          </w:p>
        </w:tc>
        <w:tc>
          <w:tcPr>
            <w:tcW w:w="1560" w:type="dxa"/>
          </w:tcPr>
          <w:p w14:paraId="7D5C5697" w14:textId="2A949E29" w:rsidR="0014230D" w:rsidRDefault="009070EA">
            <w:r>
              <w:t xml:space="preserve">We refresh parts of our estate on an ongoing basis </w:t>
            </w:r>
          </w:p>
        </w:tc>
        <w:tc>
          <w:tcPr>
            <w:tcW w:w="1842" w:type="dxa"/>
          </w:tcPr>
          <w:p w14:paraId="5A72E37A" w14:textId="5706FC90" w:rsidR="0014230D" w:rsidRDefault="009070EA">
            <w:r>
              <w:t>We refresh parts of our estate on an ongoing basis</w:t>
            </w:r>
          </w:p>
        </w:tc>
        <w:tc>
          <w:tcPr>
            <w:tcW w:w="1985" w:type="dxa"/>
          </w:tcPr>
          <w:p w14:paraId="048DB809" w14:textId="12F20189" w:rsidR="0014230D" w:rsidRDefault="009070EA">
            <w:r>
              <w:t>We refresh parts of our estate on an ongoing basis</w:t>
            </w:r>
          </w:p>
        </w:tc>
      </w:tr>
      <w:tr w:rsidR="00E17064" w14:paraId="38668CFE" w14:textId="77777777" w:rsidTr="00E17064">
        <w:tc>
          <w:tcPr>
            <w:tcW w:w="1393" w:type="dxa"/>
          </w:tcPr>
          <w:p w14:paraId="1DF5FA03" w14:textId="534F278A" w:rsidR="0014230D" w:rsidRDefault="0014230D">
            <w:r>
              <w:t>Number of Devices</w:t>
            </w:r>
          </w:p>
        </w:tc>
        <w:tc>
          <w:tcPr>
            <w:tcW w:w="1462" w:type="dxa"/>
          </w:tcPr>
          <w:p w14:paraId="008514D2" w14:textId="3361196B" w:rsidR="0014230D" w:rsidRDefault="0014230D">
            <w:r>
              <w:t>176</w:t>
            </w:r>
          </w:p>
        </w:tc>
        <w:tc>
          <w:tcPr>
            <w:tcW w:w="2243" w:type="dxa"/>
          </w:tcPr>
          <w:p w14:paraId="0C7C6A99" w14:textId="1302E3A5" w:rsidR="0014230D" w:rsidRDefault="0014230D">
            <w:r>
              <w:t>23</w:t>
            </w:r>
          </w:p>
        </w:tc>
        <w:tc>
          <w:tcPr>
            <w:tcW w:w="1560" w:type="dxa"/>
          </w:tcPr>
          <w:p w14:paraId="1C122CCD" w14:textId="0B7AE756" w:rsidR="0014230D" w:rsidRDefault="0014230D">
            <w:r>
              <w:t>2153</w:t>
            </w:r>
          </w:p>
        </w:tc>
        <w:tc>
          <w:tcPr>
            <w:tcW w:w="1842" w:type="dxa"/>
          </w:tcPr>
          <w:p w14:paraId="004D82D0" w14:textId="136C14BD" w:rsidR="0014230D" w:rsidRDefault="0014230D">
            <w:r>
              <w:t>3542</w:t>
            </w:r>
          </w:p>
        </w:tc>
        <w:tc>
          <w:tcPr>
            <w:tcW w:w="1985" w:type="dxa"/>
          </w:tcPr>
          <w:p w14:paraId="38A02896" w14:textId="4A97E49C" w:rsidR="0014230D" w:rsidRDefault="0014230D">
            <w:r>
              <w:t xml:space="preserve">A min of 1 per desk </w:t>
            </w:r>
          </w:p>
        </w:tc>
      </w:tr>
      <w:tr w:rsidR="00E17064" w14:paraId="31750000" w14:textId="77777777" w:rsidTr="00E17064">
        <w:tc>
          <w:tcPr>
            <w:tcW w:w="1393" w:type="dxa"/>
          </w:tcPr>
          <w:p w14:paraId="50C121E7" w14:textId="0F8456D4" w:rsidR="0014230D" w:rsidRDefault="0014230D">
            <w:r>
              <w:t>Locations</w:t>
            </w:r>
          </w:p>
        </w:tc>
        <w:tc>
          <w:tcPr>
            <w:tcW w:w="1462" w:type="dxa"/>
          </w:tcPr>
          <w:p w14:paraId="1C3E73B6" w14:textId="2CE67E37" w:rsidR="0014230D" w:rsidRDefault="0014230D">
            <w:r>
              <w:t xml:space="preserve">Across All Sites </w:t>
            </w:r>
          </w:p>
        </w:tc>
        <w:tc>
          <w:tcPr>
            <w:tcW w:w="2243" w:type="dxa"/>
          </w:tcPr>
          <w:p w14:paraId="22E9C9F6" w14:textId="4187D5C7" w:rsidR="0014230D" w:rsidRDefault="0014230D">
            <w:r>
              <w:t>Across All Sites</w:t>
            </w:r>
          </w:p>
        </w:tc>
        <w:tc>
          <w:tcPr>
            <w:tcW w:w="1560" w:type="dxa"/>
          </w:tcPr>
          <w:p w14:paraId="7DF5A8B9" w14:textId="1321038B" w:rsidR="0014230D" w:rsidRDefault="0014230D">
            <w:r>
              <w:t>Across All Sites</w:t>
            </w:r>
          </w:p>
        </w:tc>
        <w:tc>
          <w:tcPr>
            <w:tcW w:w="1842" w:type="dxa"/>
          </w:tcPr>
          <w:p w14:paraId="5456B08D" w14:textId="7491B393" w:rsidR="0014230D" w:rsidRDefault="0014230D">
            <w:r>
              <w:t>Across All Sites</w:t>
            </w:r>
          </w:p>
        </w:tc>
        <w:tc>
          <w:tcPr>
            <w:tcW w:w="1985" w:type="dxa"/>
          </w:tcPr>
          <w:p w14:paraId="1CBFE811" w14:textId="14A30491" w:rsidR="0014230D" w:rsidRDefault="0014230D">
            <w:r>
              <w:t>Across All Sites</w:t>
            </w:r>
          </w:p>
        </w:tc>
      </w:tr>
      <w:tr w:rsidR="00E17064" w14:paraId="4A7C2049" w14:textId="77777777" w:rsidTr="00E17064">
        <w:tc>
          <w:tcPr>
            <w:tcW w:w="1393" w:type="dxa"/>
          </w:tcPr>
          <w:p w14:paraId="263C771E" w14:textId="160E3439" w:rsidR="0014230D" w:rsidRDefault="0014230D">
            <w:r>
              <w:t>Brand and model</w:t>
            </w:r>
          </w:p>
        </w:tc>
        <w:tc>
          <w:tcPr>
            <w:tcW w:w="1462" w:type="dxa"/>
          </w:tcPr>
          <w:p w14:paraId="78B289B2" w14:textId="312F8157" w:rsidR="0014230D" w:rsidRDefault="0014230D">
            <w:r>
              <w:t xml:space="preserve">Ricoh </w:t>
            </w:r>
            <w:r w:rsidR="009070EA">
              <w:t>– either 35/55</w:t>
            </w:r>
            <w:r w:rsidR="00417C5E">
              <w:t>/75ppm</w:t>
            </w:r>
          </w:p>
        </w:tc>
        <w:tc>
          <w:tcPr>
            <w:tcW w:w="2243" w:type="dxa"/>
          </w:tcPr>
          <w:p w14:paraId="74595CA9" w14:textId="37FAA01D" w:rsidR="0014230D" w:rsidRDefault="009070EA">
            <w:r>
              <w:t>Varies, typically HP</w:t>
            </w:r>
          </w:p>
        </w:tc>
        <w:tc>
          <w:tcPr>
            <w:tcW w:w="1560" w:type="dxa"/>
          </w:tcPr>
          <w:p w14:paraId="2344A7EC" w14:textId="1EDD6F8E" w:rsidR="0014230D" w:rsidRDefault="009070EA">
            <w:r>
              <w:t>Lenovo, model whatever is on their current roadmap</w:t>
            </w:r>
          </w:p>
        </w:tc>
        <w:tc>
          <w:tcPr>
            <w:tcW w:w="1842" w:type="dxa"/>
          </w:tcPr>
          <w:p w14:paraId="1BEACB33" w14:textId="07AB5835" w:rsidR="0014230D" w:rsidRDefault="009070EA">
            <w:r>
              <w:t>Lenovo, model whatever is on their current roadmap</w:t>
            </w:r>
          </w:p>
        </w:tc>
        <w:tc>
          <w:tcPr>
            <w:tcW w:w="1985" w:type="dxa"/>
          </w:tcPr>
          <w:p w14:paraId="19821B6D" w14:textId="3C70579B" w:rsidR="0014230D" w:rsidRDefault="009070EA">
            <w:r>
              <w:t xml:space="preserve">Typically, </w:t>
            </w:r>
            <w:proofErr w:type="spellStart"/>
            <w:r>
              <w:t>IIymama</w:t>
            </w:r>
            <w:proofErr w:type="spellEnd"/>
            <w:r>
              <w:t>, model whatever is on their current roadmap</w:t>
            </w:r>
          </w:p>
        </w:tc>
        <w:bookmarkStart w:id="0" w:name="_GoBack"/>
        <w:bookmarkEnd w:id="0"/>
      </w:tr>
      <w:tr w:rsidR="00E17064" w14:paraId="0518299D" w14:textId="77777777" w:rsidTr="00E17064">
        <w:tc>
          <w:tcPr>
            <w:tcW w:w="1393" w:type="dxa"/>
          </w:tcPr>
          <w:p w14:paraId="38F81807" w14:textId="374CC5B6" w:rsidR="0014230D" w:rsidRDefault="0014230D">
            <w:r>
              <w:t xml:space="preserve">How procured </w:t>
            </w:r>
          </w:p>
        </w:tc>
        <w:tc>
          <w:tcPr>
            <w:tcW w:w="1462" w:type="dxa"/>
          </w:tcPr>
          <w:p w14:paraId="20BE8B47" w14:textId="25C78C49" w:rsidR="0014230D" w:rsidRDefault="0014230D">
            <w:r>
              <w:t xml:space="preserve">Open procurement Process </w:t>
            </w:r>
            <w:r w:rsidR="009070EA">
              <w:t>to open market (regulation  27)</w:t>
            </w:r>
          </w:p>
        </w:tc>
        <w:tc>
          <w:tcPr>
            <w:tcW w:w="2243" w:type="dxa"/>
          </w:tcPr>
          <w:p w14:paraId="48F1E840" w14:textId="5F3EC324" w:rsidR="0014230D" w:rsidRDefault="0014230D">
            <w:r>
              <w:t xml:space="preserve">Request for quote on ad hoc basis needed </w:t>
            </w:r>
          </w:p>
        </w:tc>
        <w:tc>
          <w:tcPr>
            <w:tcW w:w="1560" w:type="dxa"/>
          </w:tcPr>
          <w:p w14:paraId="0367C7B4" w14:textId="7786C4A7" w:rsidR="0014230D" w:rsidRDefault="009070EA">
            <w:r>
              <w:t>Request for quote on ad hoc basis needed</w:t>
            </w:r>
          </w:p>
        </w:tc>
        <w:tc>
          <w:tcPr>
            <w:tcW w:w="1842" w:type="dxa"/>
          </w:tcPr>
          <w:p w14:paraId="3F64FFCF" w14:textId="08332213" w:rsidR="0014230D" w:rsidRDefault="009070EA">
            <w:r>
              <w:t>Request for quote on ad hoc basis needed</w:t>
            </w:r>
          </w:p>
        </w:tc>
        <w:tc>
          <w:tcPr>
            <w:tcW w:w="1985" w:type="dxa"/>
          </w:tcPr>
          <w:p w14:paraId="20B6839D" w14:textId="2CAED97E" w:rsidR="0014230D" w:rsidRDefault="009070EA">
            <w:r>
              <w:t>Request for quote on ad hoc basis needed</w:t>
            </w:r>
          </w:p>
        </w:tc>
      </w:tr>
      <w:tr w:rsidR="00E17064" w14:paraId="4E5C7243" w14:textId="77777777" w:rsidTr="00E17064">
        <w:tc>
          <w:tcPr>
            <w:tcW w:w="1393" w:type="dxa"/>
          </w:tcPr>
          <w:p w14:paraId="185E896B" w14:textId="2925F062" w:rsidR="0014230D" w:rsidRDefault="0014230D">
            <w:r>
              <w:t>Services or Capital</w:t>
            </w:r>
          </w:p>
        </w:tc>
        <w:tc>
          <w:tcPr>
            <w:tcW w:w="1462" w:type="dxa"/>
          </w:tcPr>
          <w:p w14:paraId="7DCA8CE2" w14:textId="2929C647" w:rsidR="0014230D" w:rsidRDefault="0014230D">
            <w:r>
              <w:t>Revenue</w:t>
            </w:r>
          </w:p>
        </w:tc>
        <w:tc>
          <w:tcPr>
            <w:tcW w:w="2243" w:type="dxa"/>
          </w:tcPr>
          <w:p w14:paraId="5E8BB116" w14:textId="1040A09F" w:rsidR="0014230D" w:rsidRDefault="009070EA">
            <w:r>
              <w:t>Revenue</w:t>
            </w:r>
          </w:p>
        </w:tc>
        <w:tc>
          <w:tcPr>
            <w:tcW w:w="1560" w:type="dxa"/>
          </w:tcPr>
          <w:p w14:paraId="301583EB" w14:textId="1A5EB76D" w:rsidR="0014230D" w:rsidRDefault="009070EA">
            <w:r>
              <w:t>Revenue</w:t>
            </w:r>
          </w:p>
        </w:tc>
        <w:tc>
          <w:tcPr>
            <w:tcW w:w="1842" w:type="dxa"/>
          </w:tcPr>
          <w:p w14:paraId="44728991" w14:textId="3EAF84E6" w:rsidR="0014230D" w:rsidRDefault="009070EA">
            <w:r>
              <w:t>Revenue</w:t>
            </w:r>
          </w:p>
        </w:tc>
        <w:tc>
          <w:tcPr>
            <w:tcW w:w="1985" w:type="dxa"/>
          </w:tcPr>
          <w:p w14:paraId="7914462E" w14:textId="6E8A3D26" w:rsidR="0014230D" w:rsidRDefault="009070EA">
            <w:r>
              <w:t>Revenue</w:t>
            </w:r>
          </w:p>
        </w:tc>
      </w:tr>
      <w:tr w:rsidR="00E17064" w14:paraId="218F42E6" w14:textId="77777777" w:rsidTr="00E17064">
        <w:tc>
          <w:tcPr>
            <w:tcW w:w="1393" w:type="dxa"/>
          </w:tcPr>
          <w:p w14:paraId="5FBE9722" w14:textId="54778F5F" w:rsidR="009070EA" w:rsidRDefault="009070EA" w:rsidP="009070EA">
            <w:r>
              <w:t>Annual print Volume and Spend</w:t>
            </w:r>
          </w:p>
        </w:tc>
        <w:tc>
          <w:tcPr>
            <w:tcW w:w="1462" w:type="dxa"/>
          </w:tcPr>
          <w:p w14:paraId="2DB8E6F8" w14:textId="31C2BBD3" w:rsidR="009070EA" w:rsidRDefault="009070EA" w:rsidP="009070EA">
            <w:r w:rsidRPr="009070EA">
              <w:rPr>
                <w:b/>
                <w:bCs/>
              </w:rPr>
              <w:t xml:space="preserve">Average </w:t>
            </w:r>
            <w:r w:rsidRPr="009070EA">
              <w:rPr>
                <w:b/>
                <w:bCs/>
                <w:lang w:eastAsia="en-GB"/>
              </w:rPr>
              <w:t>2,500,000 copies</w:t>
            </w:r>
            <w:r w:rsidRPr="009070EA">
              <w:t xml:space="preserve"> @90K per annum</w:t>
            </w:r>
          </w:p>
        </w:tc>
        <w:tc>
          <w:tcPr>
            <w:tcW w:w="2243" w:type="dxa"/>
          </w:tcPr>
          <w:p w14:paraId="4C75B54B" w14:textId="029A1C17" w:rsidR="00A52838" w:rsidRPr="00A52838" w:rsidRDefault="00725D0A" w:rsidP="00A52838">
            <w:r>
              <w:t>Information not held.</w:t>
            </w:r>
            <w:r w:rsidR="00A52838">
              <w:t xml:space="preserve"> Therefore</w:t>
            </w:r>
            <w:r w:rsidR="00E17064">
              <w:t>,</w:t>
            </w:r>
            <w:r w:rsidR="009070EA">
              <w:t xml:space="preserve"> </w:t>
            </w:r>
            <w:r w:rsidR="00A52838" w:rsidRPr="00A52838">
              <w:t>this letter acts as a</w:t>
            </w:r>
          </w:p>
          <w:p w14:paraId="5AB8D6E3" w14:textId="77777777" w:rsidR="00A52838" w:rsidRPr="00A52838" w:rsidRDefault="00A52838" w:rsidP="00A52838">
            <w:r w:rsidRPr="00A52838">
              <w:t>refusal notice under section 17.1 of the Freedom of Information Act 2000</w:t>
            </w:r>
          </w:p>
          <w:p w14:paraId="001897BD" w14:textId="77777777" w:rsidR="00A52838" w:rsidRPr="00A52838" w:rsidRDefault="00A52838" w:rsidP="00A52838">
            <w:r w:rsidRPr="00A52838">
              <w:t>because, in accordance with section 1.1 of the Act, this information is not held</w:t>
            </w:r>
          </w:p>
          <w:p w14:paraId="4A81D5E5" w14:textId="77777777" w:rsidR="00A52838" w:rsidRPr="00A52838" w:rsidRDefault="00A52838" w:rsidP="00A52838">
            <w:r w:rsidRPr="00A52838">
              <w:t>by Leicester City Council</w:t>
            </w:r>
          </w:p>
          <w:p w14:paraId="298175FC" w14:textId="4576D459" w:rsidR="009070EA" w:rsidRDefault="009070EA" w:rsidP="00725D0A"/>
        </w:tc>
        <w:tc>
          <w:tcPr>
            <w:tcW w:w="1560" w:type="dxa"/>
          </w:tcPr>
          <w:p w14:paraId="66981FBC" w14:textId="3DDE1C0E" w:rsidR="009070EA" w:rsidRDefault="009070EA" w:rsidP="009070EA">
            <w:r>
              <w:t>N/A</w:t>
            </w:r>
          </w:p>
        </w:tc>
        <w:tc>
          <w:tcPr>
            <w:tcW w:w="1842" w:type="dxa"/>
          </w:tcPr>
          <w:p w14:paraId="75064B4E" w14:textId="04E129DC" w:rsidR="009070EA" w:rsidRDefault="009070EA" w:rsidP="009070EA">
            <w:r>
              <w:t>N/A</w:t>
            </w:r>
          </w:p>
        </w:tc>
        <w:tc>
          <w:tcPr>
            <w:tcW w:w="1985" w:type="dxa"/>
          </w:tcPr>
          <w:p w14:paraId="0D83F1A4" w14:textId="4D0FA274" w:rsidR="009070EA" w:rsidRDefault="009070EA" w:rsidP="009070EA">
            <w:r>
              <w:t>N/A</w:t>
            </w:r>
          </w:p>
        </w:tc>
      </w:tr>
      <w:tr w:rsidR="0014230D" w14:paraId="464F68BD" w14:textId="77777777" w:rsidTr="00E17064">
        <w:tc>
          <w:tcPr>
            <w:tcW w:w="1393" w:type="dxa"/>
          </w:tcPr>
          <w:p w14:paraId="733F35A8" w14:textId="77777777" w:rsidR="0014230D" w:rsidRDefault="0014230D">
            <w:r>
              <w:t xml:space="preserve">Person Responsible </w:t>
            </w:r>
          </w:p>
          <w:p w14:paraId="068C4204" w14:textId="56E89EB1" w:rsidR="0014230D" w:rsidRDefault="0014230D">
            <w:r>
              <w:t>MFDs and Supplies contracts</w:t>
            </w:r>
          </w:p>
        </w:tc>
        <w:tc>
          <w:tcPr>
            <w:tcW w:w="9092" w:type="dxa"/>
            <w:gridSpan w:val="5"/>
          </w:tcPr>
          <w:p w14:paraId="58F4E90C" w14:textId="05961124" w:rsidR="0014230D" w:rsidRDefault="00A52838">
            <w:r w:rsidRPr="00A52838">
              <w:t>Junior staff names are exempt from release under Section 40(2) of The Act as they are personal data. The Council judges that this personal data is being processed for the purposes of employment and that disclosure to the wider world under the Act would constitute a breach of Data Protection principles, notably Principle 1– fair, lawful and transparent processing and Principle 2 – processing for specified and not incompatible purposes. Therefore, this Information is exempt from release.</w:t>
            </w:r>
          </w:p>
        </w:tc>
      </w:tr>
      <w:tr w:rsidR="0014230D" w14:paraId="4AB1AD14" w14:textId="77777777" w:rsidTr="00E17064">
        <w:tc>
          <w:tcPr>
            <w:tcW w:w="1393" w:type="dxa"/>
          </w:tcPr>
          <w:p w14:paraId="03E8A1AC" w14:textId="7D471118" w:rsidR="0014230D" w:rsidRDefault="0014230D" w:rsidP="0014230D">
            <w:r>
              <w:t>Person Responsible Procurement</w:t>
            </w:r>
          </w:p>
        </w:tc>
        <w:tc>
          <w:tcPr>
            <w:tcW w:w="9092" w:type="dxa"/>
            <w:gridSpan w:val="5"/>
          </w:tcPr>
          <w:p w14:paraId="0D8DDBD1" w14:textId="0F45664A" w:rsidR="0014230D" w:rsidRDefault="00A52838" w:rsidP="0014230D">
            <w:r>
              <w:t>As above</w:t>
            </w:r>
          </w:p>
        </w:tc>
      </w:tr>
    </w:tbl>
    <w:p w14:paraId="5F4EE10E" w14:textId="77777777" w:rsidR="00024CA2" w:rsidRDefault="00024CA2"/>
    <w:sectPr w:rsidR="00024CA2" w:rsidSect="00E170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694"/>
    <w:rsid w:val="00024CA2"/>
    <w:rsid w:val="0014230D"/>
    <w:rsid w:val="00417C5E"/>
    <w:rsid w:val="00725D0A"/>
    <w:rsid w:val="009070EA"/>
    <w:rsid w:val="00A52838"/>
    <w:rsid w:val="00A67694"/>
    <w:rsid w:val="00CA2702"/>
    <w:rsid w:val="00E17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D941"/>
  <w15:chartTrackingRefBased/>
  <w15:docId w15:val="{D5B8DF3A-5DA1-4CF6-8CA6-35DC3AF9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7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283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5315">
      <w:bodyDiv w:val="1"/>
      <w:marLeft w:val="0"/>
      <w:marRight w:val="0"/>
      <w:marTop w:val="0"/>
      <w:marBottom w:val="0"/>
      <w:divBdr>
        <w:top w:val="none" w:sz="0" w:space="0" w:color="auto"/>
        <w:left w:val="none" w:sz="0" w:space="0" w:color="auto"/>
        <w:bottom w:val="none" w:sz="0" w:space="0" w:color="auto"/>
        <w:right w:val="none" w:sz="0" w:space="0" w:color="auto"/>
      </w:divBdr>
    </w:div>
    <w:div w:id="450127636">
      <w:bodyDiv w:val="1"/>
      <w:marLeft w:val="0"/>
      <w:marRight w:val="0"/>
      <w:marTop w:val="0"/>
      <w:marBottom w:val="0"/>
      <w:divBdr>
        <w:top w:val="none" w:sz="0" w:space="0" w:color="auto"/>
        <w:left w:val="none" w:sz="0" w:space="0" w:color="auto"/>
        <w:bottom w:val="none" w:sz="0" w:space="0" w:color="auto"/>
        <w:right w:val="none" w:sz="0" w:space="0" w:color="auto"/>
      </w:divBdr>
    </w:div>
    <w:div w:id="1530797793">
      <w:bodyDiv w:val="1"/>
      <w:marLeft w:val="0"/>
      <w:marRight w:val="0"/>
      <w:marTop w:val="0"/>
      <w:marBottom w:val="0"/>
      <w:divBdr>
        <w:top w:val="none" w:sz="0" w:space="0" w:color="auto"/>
        <w:left w:val="none" w:sz="0" w:space="0" w:color="auto"/>
        <w:bottom w:val="none" w:sz="0" w:space="0" w:color="auto"/>
        <w:right w:val="none" w:sz="0" w:space="0" w:color="auto"/>
      </w:divBdr>
    </w:div>
    <w:div w:id="1575700055">
      <w:bodyDiv w:val="1"/>
      <w:marLeft w:val="0"/>
      <w:marRight w:val="0"/>
      <w:marTop w:val="0"/>
      <w:marBottom w:val="0"/>
      <w:divBdr>
        <w:top w:val="none" w:sz="0" w:space="0" w:color="auto"/>
        <w:left w:val="none" w:sz="0" w:space="0" w:color="auto"/>
        <w:bottom w:val="none" w:sz="0" w:space="0" w:color="auto"/>
        <w:right w:val="none" w:sz="0" w:space="0" w:color="auto"/>
      </w:divBdr>
    </w:div>
    <w:div w:id="166894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Cowan</dc:creator>
  <cp:keywords/>
  <dc:description/>
  <cp:lastModifiedBy>Tracy Loach</cp:lastModifiedBy>
  <cp:revision>3</cp:revision>
  <dcterms:created xsi:type="dcterms:W3CDTF">2023-05-22T13:09:00Z</dcterms:created>
  <dcterms:modified xsi:type="dcterms:W3CDTF">2023-05-22T13:10:00Z</dcterms:modified>
</cp:coreProperties>
</file>