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20269" w14:textId="48B20367" w:rsidR="00211EA9" w:rsidRPr="00211EA9" w:rsidRDefault="00211EA9" w:rsidP="00211EA9">
      <w:pPr>
        <w:jc w:val="center"/>
        <w:rPr>
          <w:rFonts w:cstheme="minorHAnsi"/>
          <w:b/>
          <w:bCs/>
          <w:sz w:val="22"/>
          <w:szCs w:val="22"/>
        </w:rPr>
      </w:pPr>
      <w:r w:rsidRPr="00211EA9">
        <w:rPr>
          <w:rFonts w:cstheme="minorHAnsi"/>
          <w:b/>
          <w:bCs/>
          <w:sz w:val="22"/>
          <w:szCs w:val="22"/>
        </w:rPr>
        <w:t xml:space="preserve">Freedom of Information Request </w:t>
      </w:r>
      <w:r w:rsidR="003D535E">
        <w:rPr>
          <w:rFonts w:cstheme="minorHAnsi"/>
          <w:b/>
          <w:bCs/>
          <w:sz w:val="22"/>
          <w:szCs w:val="22"/>
        </w:rPr>
        <w:t>–</w:t>
      </w:r>
      <w:r w:rsidRPr="00211EA9">
        <w:rPr>
          <w:rFonts w:cstheme="minorHAnsi"/>
          <w:b/>
          <w:bCs/>
          <w:sz w:val="22"/>
          <w:szCs w:val="22"/>
        </w:rPr>
        <w:t xml:space="preserve"> </w:t>
      </w:r>
      <w:r w:rsidR="003D535E">
        <w:rPr>
          <w:rFonts w:cstheme="minorHAnsi"/>
          <w:b/>
          <w:bCs/>
          <w:sz w:val="22"/>
          <w:szCs w:val="22"/>
        </w:rPr>
        <w:t>22/05/2023</w:t>
      </w:r>
    </w:p>
    <w:p w14:paraId="6D53712D" w14:textId="77777777" w:rsidR="00211EA9" w:rsidRPr="00211EA9" w:rsidRDefault="00211EA9" w:rsidP="00211EA9">
      <w:pPr>
        <w:rPr>
          <w:rFonts w:cstheme="minorHAnsi"/>
          <w:sz w:val="22"/>
          <w:szCs w:val="22"/>
        </w:rPr>
      </w:pPr>
    </w:p>
    <w:p w14:paraId="3529AEEE" w14:textId="77777777" w:rsidR="00211EA9" w:rsidRPr="00211EA9" w:rsidRDefault="00211EA9" w:rsidP="00211EA9">
      <w:pPr>
        <w:rPr>
          <w:rFonts w:cstheme="minorHAnsi"/>
          <w:sz w:val="22"/>
          <w:szCs w:val="22"/>
        </w:rPr>
      </w:pPr>
      <w:r w:rsidRPr="00211EA9">
        <w:rPr>
          <w:rFonts w:cstheme="minorHAnsi"/>
          <w:sz w:val="22"/>
          <w:szCs w:val="22"/>
        </w:rPr>
        <w:t>Please find the following request for information under the Freedom of Information Act:</w:t>
      </w:r>
    </w:p>
    <w:p w14:paraId="1B28A360" w14:textId="77777777" w:rsidR="00211EA9" w:rsidRPr="00211EA9" w:rsidRDefault="00211EA9" w:rsidP="00211EA9">
      <w:pPr>
        <w:rPr>
          <w:rFonts w:cstheme="minorHAnsi"/>
          <w:sz w:val="22"/>
          <w:szCs w:val="22"/>
        </w:rPr>
      </w:pPr>
      <w:r w:rsidRPr="00211EA9">
        <w:rPr>
          <w:rFonts w:cstheme="minorHAnsi"/>
          <w:sz w:val="22"/>
          <w:szCs w:val="22"/>
        </w:rPr>
        <w:t> </w:t>
      </w:r>
    </w:p>
    <w:p w14:paraId="7F1C63A1" w14:textId="16E23D3F" w:rsidR="00211EA9" w:rsidRPr="00211EA9" w:rsidRDefault="00211EA9" w:rsidP="00211EA9">
      <w:pPr>
        <w:rPr>
          <w:rFonts w:cstheme="minorHAnsi"/>
          <w:i/>
          <w:iCs/>
          <w:sz w:val="22"/>
          <w:szCs w:val="22"/>
          <w:u w:val="single"/>
        </w:rPr>
      </w:pPr>
      <w:r>
        <w:rPr>
          <w:rFonts w:cstheme="minorHAnsi"/>
          <w:i/>
          <w:iCs/>
          <w:sz w:val="22"/>
          <w:szCs w:val="22"/>
          <w:u w:val="single"/>
        </w:rPr>
        <w:t xml:space="preserve">Please </w:t>
      </w:r>
      <w:r w:rsidRPr="00211EA9">
        <w:rPr>
          <w:rFonts w:cstheme="minorHAnsi"/>
          <w:i/>
          <w:iCs/>
          <w:sz w:val="22"/>
          <w:szCs w:val="22"/>
          <w:u w:val="single"/>
        </w:rPr>
        <w:t>Note</w:t>
      </w:r>
    </w:p>
    <w:p w14:paraId="5675979C" w14:textId="77777777" w:rsidR="00211EA9" w:rsidRPr="00211EA9" w:rsidRDefault="00211EA9" w:rsidP="00211EA9">
      <w:pPr>
        <w:pStyle w:val="NoSpacing"/>
        <w:numPr>
          <w:ilvl w:val="0"/>
          <w:numId w:val="6"/>
        </w:numPr>
        <w:rPr>
          <w:i/>
          <w:iCs/>
          <w:sz w:val="22"/>
          <w:szCs w:val="22"/>
        </w:rPr>
      </w:pPr>
      <w:r w:rsidRPr="00211EA9">
        <w:rPr>
          <w:i/>
          <w:iCs/>
          <w:sz w:val="22"/>
          <w:szCs w:val="22"/>
        </w:rPr>
        <w:t xml:space="preserve">The format below has been drafted to ensure </w:t>
      </w:r>
      <w:r w:rsidRPr="001C3623">
        <w:rPr>
          <w:b/>
          <w:bCs/>
          <w:i/>
          <w:iCs/>
          <w:sz w:val="22"/>
          <w:szCs w:val="22"/>
          <w:u w:val="single"/>
        </w:rPr>
        <w:t>all</w:t>
      </w:r>
      <w:r w:rsidRPr="00211EA9">
        <w:rPr>
          <w:i/>
          <w:iCs/>
          <w:sz w:val="22"/>
          <w:szCs w:val="22"/>
        </w:rPr>
        <w:t xml:space="preserve"> authorities can provide a response in respect of their care home fees for older person care.  </w:t>
      </w:r>
    </w:p>
    <w:p w14:paraId="67C4290E" w14:textId="0A70FE95" w:rsidR="00211EA9" w:rsidRPr="00211EA9" w:rsidRDefault="00211EA9" w:rsidP="00211EA9">
      <w:pPr>
        <w:pStyle w:val="NoSpacing"/>
        <w:numPr>
          <w:ilvl w:val="0"/>
          <w:numId w:val="6"/>
        </w:numPr>
      </w:pPr>
      <w:r w:rsidRPr="00211EA9">
        <w:rPr>
          <w:rFonts w:cstheme="minorHAnsi"/>
          <w:i/>
          <w:iCs/>
          <w:sz w:val="22"/>
          <w:szCs w:val="22"/>
        </w:rPr>
        <w:t xml:space="preserve">This Freedom of Information request seeks data that the local authority </w:t>
      </w:r>
      <w:r w:rsidR="00591B2B">
        <w:rPr>
          <w:rFonts w:cstheme="minorHAnsi"/>
          <w:i/>
          <w:iCs/>
          <w:sz w:val="22"/>
          <w:szCs w:val="22"/>
        </w:rPr>
        <w:t>may</w:t>
      </w:r>
      <w:r w:rsidRPr="00211EA9">
        <w:rPr>
          <w:rFonts w:cstheme="minorHAnsi"/>
          <w:i/>
          <w:iCs/>
          <w:sz w:val="22"/>
          <w:szCs w:val="22"/>
        </w:rPr>
        <w:t xml:space="preserve"> also be supplying through Annex A of the Market Sustainability and Improvement </w:t>
      </w:r>
      <w:r w:rsidR="00E255F2">
        <w:rPr>
          <w:rFonts w:cstheme="minorHAnsi"/>
          <w:i/>
          <w:iCs/>
          <w:sz w:val="22"/>
          <w:szCs w:val="22"/>
        </w:rPr>
        <w:t xml:space="preserve">(MSIF) </w:t>
      </w:r>
      <w:r w:rsidR="00591B2B">
        <w:rPr>
          <w:rFonts w:cstheme="minorHAnsi"/>
          <w:i/>
          <w:iCs/>
          <w:sz w:val="22"/>
          <w:szCs w:val="22"/>
        </w:rPr>
        <w:t>submission in May 2023</w:t>
      </w:r>
      <w:r w:rsidRPr="00211EA9">
        <w:rPr>
          <w:rFonts w:cstheme="minorHAnsi"/>
          <w:i/>
          <w:iCs/>
          <w:sz w:val="22"/>
          <w:szCs w:val="22"/>
        </w:rPr>
        <w:t>.</w:t>
      </w:r>
    </w:p>
    <w:p w14:paraId="667C69DB" w14:textId="77777777" w:rsidR="0076560A" w:rsidRDefault="0076560A" w:rsidP="00211EA9">
      <w:pPr>
        <w:rPr>
          <w:rFonts w:cstheme="minorHAnsi"/>
          <w:sz w:val="22"/>
          <w:szCs w:val="22"/>
        </w:rPr>
      </w:pPr>
    </w:p>
    <w:p w14:paraId="0C8E168B" w14:textId="3430AA2C" w:rsidR="00211EA9" w:rsidRPr="00211EA9" w:rsidRDefault="00211EA9" w:rsidP="00211EA9">
      <w:pPr>
        <w:rPr>
          <w:rFonts w:cstheme="minorHAnsi"/>
          <w:sz w:val="22"/>
          <w:szCs w:val="22"/>
        </w:rPr>
      </w:pPr>
      <w:r w:rsidRPr="00211EA9">
        <w:rPr>
          <w:rFonts w:cstheme="minorHAnsi"/>
          <w:sz w:val="22"/>
          <w:szCs w:val="22"/>
        </w:rPr>
        <w:t>Q</w:t>
      </w:r>
      <w:r w:rsidR="000378A3">
        <w:rPr>
          <w:rFonts w:cstheme="minorHAnsi"/>
          <w:sz w:val="22"/>
          <w:szCs w:val="22"/>
        </w:rPr>
        <w:t>1</w:t>
      </w:r>
      <w:r w:rsidRPr="00211EA9">
        <w:rPr>
          <w:rFonts w:cstheme="minorHAnsi"/>
          <w:sz w:val="22"/>
          <w:szCs w:val="22"/>
        </w:rPr>
        <w:t xml:space="preserve">) Please </w:t>
      </w:r>
      <w:r w:rsidR="00591B2B">
        <w:rPr>
          <w:rFonts w:cstheme="minorHAnsi"/>
          <w:sz w:val="22"/>
          <w:szCs w:val="22"/>
        </w:rPr>
        <w:t xml:space="preserve">provide </w:t>
      </w:r>
      <w:r w:rsidRPr="00211EA9">
        <w:rPr>
          <w:rFonts w:cstheme="minorHAnsi"/>
          <w:sz w:val="22"/>
          <w:szCs w:val="22"/>
        </w:rPr>
        <w:t xml:space="preserve">your 2023 to 2024 </w:t>
      </w:r>
      <w:r w:rsidR="00E56304" w:rsidRPr="001C3623">
        <w:rPr>
          <w:rFonts w:cstheme="minorHAnsi"/>
          <w:b/>
          <w:bCs/>
          <w:sz w:val="22"/>
          <w:szCs w:val="22"/>
          <w:u w:val="single"/>
        </w:rPr>
        <w:t xml:space="preserve">weekly </w:t>
      </w:r>
      <w:r w:rsidRPr="001C3623">
        <w:rPr>
          <w:rFonts w:cstheme="minorHAnsi"/>
          <w:b/>
          <w:bCs/>
          <w:sz w:val="22"/>
          <w:szCs w:val="22"/>
          <w:u w:val="single"/>
        </w:rPr>
        <w:t>base</w:t>
      </w:r>
      <w:r w:rsidRPr="00211EA9">
        <w:rPr>
          <w:rFonts w:cstheme="minorHAnsi"/>
          <w:sz w:val="22"/>
          <w:szCs w:val="22"/>
        </w:rPr>
        <w:t xml:space="preserve"> fee rate</w:t>
      </w:r>
      <w:r w:rsidR="00591B2B">
        <w:rPr>
          <w:rFonts w:cstheme="minorHAnsi"/>
          <w:sz w:val="22"/>
          <w:szCs w:val="22"/>
        </w:rPr>
        <w:t xml:space="preserve">s </w:t>
      </w:r>
      <w:r w:rsidRPr="00211EA9">
        <w:rPr>
          <w:rFonts w:cstheme="minorHAnsi"/>
          <w:sz w:val="22"/>
          <w:szCs w:val="22"/>
        </w:rPr>
        <w:t>for the following care types</w:t>
      </w:r>
      <w:r w:rsidR="00591B2B" w:rsidRPr="00591B2B">
        <w:rPr>
          <w:rFonts w:cstheme="minorHAnsi"/>
          <w:sz w:val="22"/>
          <w:szCs w:val="22"/>
        </w:rPr>
        <w:t xml:space="preserve"> </w:t>
      </w:r>
      <w:r w:rsidR="00591B2B">
        <w:rPr>
          <w:rFonts w:cstheme="minorHAnsi"/>
          <w:sz w:val="22"/>
          <w:szCs w:val="22"/>
        </w:rPr>
        <w:t>along with a copy of your fee uplift letter sent to care providers at the time the uplift was applied</w:t>
      </w:r>
      <w:r w:rsidR="00591B2B" w:rsidRPr="00211EA9">
        <w:rPr>
          <w:rFonts w:cstheme="minorHAnsi"/>
          <w:sz w:val="22"/>
          <w:szCs w:val="22"/>
        </w:rPr>
        <w:t>:</w:t>
      </w:r>
    </w:p>
    <w:p w14:paraId="4203909D" w14:textId="77777777" w:rsidR="00211EA9" w:rsidRPr="00211EA9" w:rsidRDefault="00211EA9" w:rsidP="00211EA9">
      <w:pPr>
        <w:numPr>
          <w:ilvl w:val="0"/>
          <w:numId w:val="4"/>
        </w:numPr>
        <w:rPr>
          <w:rFonts w:cstheme="minorHAnsi"/>
          <w:sz w:val="22"/>
          <w:szCs w:val="22"/>
        </w:rPr>
      </w:pPr>
      <w:bookmarkStart w:id="0" w:name="_Hlk134701623"/>
      <w:r w:rsidRPr="00211EA9">
        <w:rPr>
          <w:rFonts w:cstheme="minorHAnsi"/>
          <w:sz w:val="22"/>
          <w:szCs w:val="22"/>
        </w:rPr>
        <w:t>Nursing (Excl. FNC)</w:t>
      </w:r>
    </w:p>
    <w:p w14:paraId="1DCFA0C4" w14:textId="77777777" w:rsidR="00211EA9" w:rsidRPr="00211EA9" w:rsidRDefault="00211EA9" w:rsidP="00211EA9">
      <w:pPr>
        <w:numPr>
          <w:ilvl w:val="0"/>
          <w:numId w:val="4"/>
        </w:numPr>
        <w:rPr>
          <w:rFonts w:cstheme="minorHAnsi"/>
          <w:sz w:val="22"/>
          <w:szCs w:val="22"/>
        </w:rPr>
      </w:pPr>
      <w:r w:rsidRPr="00211EA9">
        <w:rPr>
          <w:rFonts w:cstheme="minorHAnsi"/>
          <w:sz w:val="22"/>
          <w:szCs w:val="22"/>
        </w:rPr>
        <w:t>Nursing with Dementia (Excl. FNC)</w:t>
      </w:r>
    </w:p>
    <w:p w14:paraId="41574EDA" w14:textId="77777777" w:rsidR="00211EA9" w:rsidRPr="00211EA9" w:rsidRDefault="00211EA9" w:rsidP="00211EA9">
      <w:pPr>
        <w:numPr>
          <w:ilvl w:val="0"/>
          <w:numId w:val="4"/>
        </w:numPr>
        <w:rPr>
          <w:rFonts w:cstheme="minorHAnsi"/>
          <w:sz w:val="22"/>
          <w:szCs w:val="22"/>
        </w:rPr>
      </w:pPr>
      <w:r w:rsidRPr="00211EA9">
        <w:rPr>
          <w:rFonts w:cstheme="minorHAnsi"/>
          <w:sz w:val="22"/>
          <w:szCs w:val="22"/>
        </w:rPr>
        <w:t>Residential (without nursing)</w:t>
      </w:r>
    </w:p>
    <w:p w14:paraId="4D78DE41" w14:textId="77777777" w:rsidR="00211EA9" w:rsidRPr="00211EA9" w:rsidRDefault="00211EA9" w:rsidP="00211EA9">
      <w:pPr>
        <w:numPr>
          <w:ilvl w:val="0"/>
          <w:numId w:val="4"/>
        </w:numPr>
        <w:rPr>
          <w:rFonts w:cstheme="minorHAnsi"/>
          <w:sz w:val="22"/>
          <w:szCs w:val="22"/>
        </w:rPr>
      </w:pPr>
      <w:r w:rsidRPr="00211EA9">
        <w:rPr>
          <w:rFonts w:cstheme="minorHAnsi"/>
          <w:sz w:val="22"/>
          <w:szCs w:val="22"/>
        </w:rPr>
        <w:t>Residential (without nursing) with Dementia</w:t>
      </w:r>
    </w:p>
    <w:bookmarkEnd w:id="0"/>
    <w:p w14:paraId="545DEEA3" w14:textId="24006681" w:rsidR="00A455A5" w:rsidRDefault="00591B2B" w:rsidP="00211EA9">
      <w:pPr>
        <w:rPr>
          <w:rFonts w:cstheme="minorHAnsi"/>
          <w:sz w:val="22"/>
          <w:szCs w:val="22"/>
        </w:rPr>
      </w:pPr>
      <w:r w:rsidRPr="003A7CB6">
        <w:rPr>
          <w:rFonts w:cstheme="minorHAnsi"/>
          <w:sz w:val="22"/>
          <w:szCs w:val="22"/>
        </w:rPr>
        <w:t>Note:  If you do not operate a base fee, please provide the fee schedule you use (i.e.  a banding or range of fees).  If no fee schedule is used, please provide the average fee p</w:t>
      </w:r>
      <w:r>
        <w:rPr>
          <w:rFonts w:cstheme="minorHAnsi"/>
          <w:sz w:val="22"/>
          <w:szCs w:val="22"/>
        </w:rPr>
        <w:t>roposed</w:t>
      </w:r>
      <w:r w:rsidRPr="003A7CB6">
        <w:rPr>
          <w:rFonts w:cstheme="minorHAnsi"/>
          <w:sz w:val="22"/>
          <w:szCs w:val="22"/>
        </w:rPr>
        <w:t xml:space="preserve"> during this period for each care type.</w:t>
      </w:r>
      <w:r w:rsidR="00E255F2">
        <w:rPr>
          <w:rFonts w:cstheme="minorHAnsi"/>
          <w:sz w:val="22"/>
          <w:szCs w:val="22"/>
        </w:rPr>
        <w:t xml:space="preserve">  Where you have not yet reported a 2023-2024 fee uplift, please outline your timeline and process for doing so.</w:t>
      </w:r>
    </w:p>
    <w:p w14:paraId="3E691D88" w14:textId="619ECCDC" w:rsidR="007C6248" w:rsidRDefault="007C6248" w:rsidP="00211EA9">
      <w:pPr>
        <w:rPr>
          <w:rFonts w:cstheme="minorHAnsi"/>
          <w:sz w:val="22"/>
          <w:szCs w:val="22"/>
        </w:rPr>
      </w:pPr>
    </w:p>
    <w:p w14:paraId="05E252D3" w14:textId="39A8F802" w:rsidR="007C6248" w:rsidRPr="00367BF6" w:rsidRDefault="007C6248" w:rsidP="00211EA9">
      <w:pPr>
        <w:rPr>
          <w:rFonts w:cstheme="minorHAnsi"/>
          <w:color w:val="0000FF"/>
          <w:sz w:val="22"/>
          <w:szCs w:val="22"/>
        </w:rPr>
      </w:pPr>
      <w:r w:rsidRPr="00367BF6">
        <w:rPr>
          <w:rFonts w:cstheme="minorHAnsi"/>
          <w:color w:val="0000FF"/>
          <w:sz w:val="22"/>
          <w:szCs w:val="22"/>
        </w:rPr>
        <w:t xml:space="preserve">See embedded document below which is the fee uplift letter sent to providers and which sets out the fee uplift applied to base rates in Leicester. </w:t>
      </w:r>
      <w:r w:rsidR="00FA2875" w:rsidRPr="00367BF6">
        <w:rPr>
          <w:rFonts w:cstheme="minorHAnsi"/>
          <w:color w:val="0000FF"/>
          <w:sz w:val="22"/>
          <w:szCs w:val="22"/>
        </w:rPr>
        <w:t>The letter includes a table of the weekly base fees (note – actual fees paid can be a combination of the weekly base fee (banding) and an additional needs allowance payment where additional support is provided</w:t>
      </w:r>
      <w:r w:rsidR="001F163D" w:rsidRPr="00367BF6">
        <w:rPr>
          <w:rFonts w:cstheme="minorHAnsi"/>
          <w:color w:val="0000FF"/>
          <w:sz w:val="22"/>
          <w:szCs w:val="22"/>
        </w:rPr>
        <w:t>)</w:t>
      </w:r>
      <w:r w:rsidR="00FA2875" w:rsidRPr="00367BF6">
        <w:rPr>
          <w:rFonts w:cstheme="minorHAnsi"/>
          <w:color w:val="0000FF"/>
          <w:sz w:val="22"/>
          <w:szCs w:val="22"/>
        </w:rPr>
        <w:t>.</w:t>
      </w:r>
    </w:p>
    <w:p w14:paraId="7234E86A" w14:textId="77777777" w:rsidR="007C6248" w:rsidRDefault="007C6248" w:rsidP="00211EA9">
      <w:pPr>
        <w:rPr>
          <w:rFonts w:cstheme="minorHAnsi"/>
          <w:sz w:val="22"/>
          <w:szCs w:val="22"/>
        </w:rPr>
      </w:pPr>
    </w:p>
    <w:p w14:paraId="242607B0" w14:textId="71A4B5AB" w:rsidR="007C6248" w:rsidRDefault="007C6248" w:rsidP="00211EA9">
      <w:pPr>
        <w:rPr>
          <w:rFonts w:cstheme="minorHAnsi"/>
          <w:sz w:val="22"/>
          <w:szCs w:val="22"/>
        </w:rPr>
      </w:pPr>
      <w:r>
        <w:rPr>
          <w:rFonts w:cstheme="minorHAnsi"/>
          <w:sz w:val="22"/>
          <w:szCs w:val="22"/>
        </w:rPr>
        <w:t xml:space="preserve"> </w:t>
      </w:r>
      <w:r>
        <w:rPr>
          <w:rFonts w:cstheme="minorHAnsi"/>
          <w:sz w:val="22"/>
          <w:szCs w:val="22"/>
        </w:rPr>
        <w:object w:dxaOrig="1504" w:dyaOrig="982" w14:anchorId="5A521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7" o:title=""/>
          </v:shape>
          <o:OLEObject Type="Embed" ProgID="AcroExch.Document.DC" ShapeID="_x0000_i1025" DrawAspect="Icon" ObjectID="_1748697059" r:id="rId8"/>
        </w:object>
      </w:r>
    </w:p>
    <w:p w14:paraId="788D5302" w14:textId="60B66D69" w:rsidR="007C6248" w:rsidRDefault="007C6248" w:rsidP="00211EA9">
      <w:pPr>
        <w:rPr>
          <w:rFonts w:cstheme="minorHAnsi"/>
          <w:sz w:val="22"/>
          <w:szCs w:val="22"/>
        </w:rPr>
      </w:pPr>
    </w:p>
    <w:p w14:paraId="517F921C" w14:textId="68CEE1FF" w:rsidR="00CD2986" w:rsidRDefault="00CD2986" w:rsidP="00CD2986">
      <w:pPr>
        <w:rPr>
          <w:rFonts w:cstheme="minorHAnsi"/>
          <w:sz w:val="22"/>
          <w:szCs w:val="22"/>
        </w:rPr>
      </w:pPr>
      <w:r>
        <w:rPr>
          <w:rFonts w:cstheme="minorHAnsi"/>
          <w:sz w:val="22"/>
          <w:szCs w:val="22"/>
        </w:rPr>
        <w:t>Q</w:t>
      </w:r>
      <w:r w:rsidR="007A2653">
        <w:rPr>
          <w:rFonts w:cstheme="minorHAnsi"/>
          <w:sz w:val="22"/>
          <w:szCs w:val="22"/>
        </w:rPr>
        <w:t>2</w:t>
      </w:r>
      <w:r w:rsidRPr="00211EA9">
        <w:rPr>
          <w:rFonts w:cstheme="minorHAnsi"/>
          <w:sz w:val="22"/>
          <w:szCs w:val="22"/>
        </w:rPr>
        <w:t xml:space="preserve">) Please </w:t>
      </w:r>
      <w:r w:rsidR="00591B2B">
        <w:rPr>
          <w:rFonts w:cstheme="minorHAnsi"/>
          <w:sz w:val="22"/>
          <w:szCs w:val="22"/>
        </w:rPr>
        <w:t>provide</w:t>
      </w:r>
      <w:r w:rsidRPr="00211EA9">
        <w:rPr>
          <w:rFonts w:cstheme="minorHAnsi"/>
          <w:sz w:val="22"/>
          <w:szCs w:val="22"/>
        </w:rPr>
        <w:t xml:space="preserve"> </w:t>
      </w:r>
      <w:r w:rsidR="00EE0A7A">
        <w:rPr>
          <w:rFonts w:cstheme="minorHAnsi"/>
          <w:sz w:val="22"/>
          <w:szCs w:val="22"/>
        </w:rPr>
        <w:t xml:space="preserve">your </w:t>
      </w:r>
      <w:r w:rsidRPr="001C3623">
        <w:rPr>
          <w:rFonts w:cstheme="minorHAnsi"/>
          <w:b/>
          <w:bCs/>
          <w:sz w:val="22"/>
          <w:szCs w:val="22"/>
          <w:u w:val="single"/>
        </w:rPr>
        <w:t>average weekly</w:t>
      </w:r>
      <w:r>
        <w:rPr>
          <w:rFonts w:cstheme="minorHAnsi"/>
          <w:b/>
          <w:bCs/>
          <w:sz w:val="22"/>
          <w:szCs w:val="22"/>
        </w:rPr>
        <w:t xml:space="preserve"> </w:t>
      </w:r>
      <w:r w:rsidRPr="00211EA9">
        <w:rPr>
          <w:rFonts w:cstheme="minorHAnsi"/>
          <w:sz w:val="22"/>
          <w:szCs w:val="22"/>
        </w:rPr>
        <w:t>fee rate (</w:t>
      </w:r>
      <w:r w:rsidR="00EE0A7A">
        <w:rPr>
          <w:rFonts w:cstheme="minorHAnsi"/>
          <w:sz w:val="22"/>
          <w:szCs w:val="22"/>
        </w:rPr>
        <w:t>being the</w:t>
      </w:r>
      <w:r w:rsidR="00EE0A7A" w:rsidRPr="00EE0A7A">
        <w:t xml:space="preserve"> </w:t>
      </w:r>
      <w:r w:rsidR="00EE0A7A" w:rsidRPr="00EE0A7A">
        <w:rPr>
          <w:rFonts w:cstheme="minorHAnsi"/>
          <w:sz w:val="22"/>
          <w:szCs w:val="22"/>
        </w:rPr>
        <w:t xml:space="preserve">average weekly fee paid during the </w:t>
      </w:r>
      <w:r w:rsidR="00591B2B">
        <w:rPr>
          <w:rFonts w:cstheme="minorHAnsi"/>
          <w:sz w:val="22"/>
          <w:szCs w:val="22"/>
        </w:rPr>
        <w:t>period 1</w:t>
      </w:r>
      <w:r w:rsidR="00591B2B" w:rsidRPr="003A7CB6">
        <w:rPr>
          <w:rFonts w:cstheme="minorHAnsi"/>
          <w:sz w:val="22"/>
          <w:szCs w:val="22"/>
          <w:vertAlign w:val="superscript"/>
        </w:rPr>
        <w:t>st</w:t>
      </w:r>
      <w:r w:rsidR="00591B2B">
        <w:rPr>
          <w:rFonts w:cstheme="minorHAnsi"/>
          <w:sz w:val="22"/>
          <w:szCs w:val="22"/>
        </w:rPr>
        <w:t xml:space="preserve"> April 2022 to March 31</w:t>
      </w:r>
      <w:r w:rsidR="00591B2B" w:rsidRPr="003A7CB6">
        <w:rPr>
          <w:rFonts w:cstheme="minorHAnsi"/>
          <w:sz w:val="22"/>
          <w:szCs w:val="22"/>
          <w:vertAlign w:val="superscript"/>
        </w:rPr>
        <w:t>st</w:t>
      </w:r>
      <w:r w:rsidR="00591B2B">
        <w:rPr>
          <w:rFonts w:cstheme="minorHAnsi"/>
          <w:sz w:val="22"/>
          <w:szCs w:val="22"/>
        </w:rPr>
        <w:t xml:space="preserve"> </w:t>
      </w:r>
      <w:r w:rsidR="00EE0A7A" w:rsidRPr="00EE0A7A">
        <w:rPr>
          <w:rFonts w:cstheme="minorHAnsi"/>
          <w:sz w:val="22"/>
          <w:szCs w:val="22"/>
        </w:rPr>
        <w:t>202</w:t>
      </w:r>
      <w:r w:rsidR="00EE0A7A">
        <w:rPr>
          <w:rFonts w:cstheme="minorHAnsi"/>
          <w:sz w:val="22"/>
          <w:szCs w:val="22"/>
        </w:rPr>
        <w:t xml:space="preserve">3 </w:t>
      </w:r>
      <w:r w:rsidRPr="00211EA9">
        <w:rPr>
          <w:rFonts w:cstheme="minorHAnsi"/>
          <w:sz w:val="22"/>
          <w:szCs w:val="22"/>
        </w:rPr>
        <w:t>) for the following care types:</w:t>
      </w:r>
    </w:p>
    <w:p w14:paraId="22299830" w14:textId="4A34164D" w:rsidR="00EE0A7A" w:rsidRPr="00367BF6" w:rsidRDefault="00EE0A7A" w:rsidP="00EE0A7A">
      <w:pPr>
        <w:numPr>
          <w:ilvl w:val="0"/>
          <w:numId w:val="10"/>
        </w:numPr>
        <w:rPr>
          <w:rFonts w:cstheme="minorHAnsi"/>
          <w:color w:val="0000FF"/>
          <w:sz w:val="22"/>
          <w:szCs w:val="22"/>
        </w:rPr>
      </w:pPr>
      <w:r w:rsidRPr="00211EA9">
        <w:rPr>
          <w:rFonts w:cstheme="minorHAnsi"/>
          <w:sz w:val="22"/>
          <w:szCs w:val="22"/>
        </w:rPr>
        <w:t>Nursing (Excl. FNC)</w:t>
      </w:r>
      <w:r w:rsidR="00ED6F05">
        <w:rPr>
          <w:rFonts w:cstheme="minorHAnsi"/>
          <w:sz w:val="22"/>
          <w:szCs w:val="22"/>
        </w:rPr>
        <w:t xml:space="preserve">  </w:t>
      </w:r>
      <w:bookmarkStart w:id="1" w:name="_Hlk138005078"/>
      <w:r w:rsidR="00ED6F05" w:rsidRPr="00367BF6">
        <w:rPr>
          <w:rFonts w:cstheme="minorHAnsi"/>
          <w:color w:val="0000FF"/>
          <w:sz w:val="22"/>
          <w:szCs w:val="22"/>
        </w:rPr>
        <w:t>Older persons = £837, WAA = £845</w:t>
      </w:r>
    </w:p>
    <w:bookmarkEnd w:id="1"/>
    <w:p w14:paraId="30C03976" w14:textId="521B7DD7" w:rsidR="00EE0A7A" w:rsidRPr="00211EA9" w:rsidRDefault="00EE0A7A" w:rsidP="00EE0A7A">
      <w:pPr>
        <w:numPr>
          <w:ilvl w:val="0"/>
          <w:numId w:val="10"/>
        </w:numPr>
        <w:rPr>
          <w:rFonts w:cstheme="minorHAnsi"/>
          <w:sz w:val="22"/>
          <w:szCs w:val="22"/>
        </w:rPr>
      </w:pPr>
      <w:r w:rsidRPr="00211EA9">
        <w:rPr>
          <w:rFonts w:cstheme="minorHAnsi"/>
          <w:sz w:val="22"/>
          <w:szCs w:val="22"/>
        </w:rPr>
        <w:t>Nursing with Dementia (Excl. FNC)</w:t>
      </w:r>
      <w:r w:rsidR="00ED6F05">
        <w:rPr>
          <w:rFonts w:cstheme="minorHAnsi"/>
          <w:sz w:val="22"/>
          <w:szCs w:val="22"/>
        </w:rPr>
        <w:t xml:space="preserve">  </w:t>
      </w:r>
      <w:r w:rsidR="00ED6F05" w:rsidRPr="00367BF6">
        <w:rPr>
          <w:rFonts w:cstheme="minorHAnsi"/>
          <w:color w:val="0000FF"/>
          <w:sz w:val="22"/>
          <w:szCs w:val="22"/>
        </w:rPr>
        <w:t>– see response to part A which are the ‘blended rates’.</w:t>
      </w:r>
    </w:p>
    <w:p w14:paraId="0FC415F0" w14:textId="7A949A43" w:rsidR="00ED6F05" w:rsidRPr="00367BF6" w:rsidRDefault="00EE0A7A" w:rsidP="00ED6F05">
      <w:pPr>
        <w:pStyle w:val="ListParagraph"/>
        <w:numPr>
          <w:ilvl w:val="0"/>
          <w:numId w:val="10"/>
        </w:numPr>
        <w:rPr>
          <w:rFonts w:asciiTheme="minorHAnsi" w:eastAsiaTheme="minorHAnsi" w:hAnsiTheme="minorHAnsi" w:cstheme="minorHAnsi"/>
          <w:color w:val="0000FF"/>
          <w:sz w:val="22"/>
          <w:szCs w:val="22"/>
          <w:lang w:eastAsia="en-US"/>
        </w:rPr>
      </w:pPr>
      <w:r w:rsidRPr="00ED6F05">
        <w:rPr>
          <w:rFonts w:cstheme="minorHAnsi"/>
          <w:sz w:val="22"/>
          <w:szCs w:val="22"/>
        </w:rPr>
        <w:t>Residential (without nursing)</w:t>
      </w:r>
      <w:r w:rsidR="00ED6F05" w:rsidRPr="00ED6F05">
        <w:rPr>
          <w:rFonts w:cstheme="minorHAnsi"/>
          <w:sz w:val="22"/>
          <w:szCs w:val="22"/>
        </w:rPr>
        <w:t xml:space="preserve">   </w:t>
      </w:r>
      <w:bookmarkStart w:id="2" w:name="_Hlk138005380"/>
      <w:r w:rsidR="00ED6F05" w:rsidRPr="00367BF6">
        <w:rPr>
          <w:rFonts w:asciiTheme="minorHAnsi" w:eastAsiaTheme="minorHAnsi" w:hAnsiTheme="minorHAnsi" w:cstheme="minorHAnsi"/>
          <w:color w:val="0000FF"/>
          <w:sz w:val="22"/>
          <w:szCs w:val="22"/>
          <w:lang w:eastAsia="en-US"/>
        </w:rPr>
        <w:t>Older persons = £776, WAA = £1,451</w:t>
      </w:r>
    </w:p>
    <w:bookmarkEnd w:id="2"/>
    <w:p w14:paraId="35659AF2" w14:textId="0BB28667" w:rsidR="00EE0A7A" w:rsidRPr="00367BF6" w:rsidRDefault="00EE0A7A" w:rsidP="00EE0A7A">
      <w:pPr>
        <w:numPr>
          <w:ilvl w:val="0"/>
          <w:numId w:val="10"/>
        </w:numPr>
        <w:rPr>
          <w:rFonts w:cstheme="minorHAnsi"/>
          <w:color w:val="0000FF"/>
          <w:sz w:val="22"/>
          <w:szCs w:val="22"/>
        </w:rPr>
      </w:pPr>
      <w:r w:rsidRPr="00211EA9">
        <w:rPr>
          <w:rFonts w:cstheme="minorHAnsi"/>
          <w:sz w:val="22"/>
          <w:szCs w:val="22"/>
        </w:rPr>
        <w:t>Residential (without nursing) with Dementia</w:t>
      </w:r>
      <w:r w:rsidR="00ED6F05">
        <w:rPr>
          <w:rFonts w:cstheme="minorHAnsi"/>
          <w:sz w:val="22"/>
          <w:szCs w:val="22"/>
        </w:rPr>
        <w:t xml:space="preserve">  </w:t>
      </w:r>
      <w:r w:rsidR="00ED6F05" w:rsidRPr="00367BF6">
        <w:rPr>
          <w:rFonts w:cstheme="minorHAnsi"/>
          <w:color w:val="0000FF"/>
          <w:sz w:val="22"/>
          <w:szCs w:val="22"/>
        </w:rPr>
        <w:t xml:space="preserve">– see response to part </w:t>
      </w:r>
      <w:r w:rsidR="00ED6D30" w:rsidRPr="00367BF6">
        <w:rPr>
          <w:rFonts w:cstheme="minorHAnsi"/>
          <w:color w:val="0000FF"/>
          <w:sz w:val="22"/>
          <w:szCs w:val="22"/>
        </w:rPr>
        <w:t>C</w:t>
      </w:r>
      <w:r w:rsidR="00ED6F05" w:rsidRPr="00367BF6">
        <w:rPr>
          <w:rFonts w:cstheme="minorHAnsi"/>
          <w:color w:val="0000FF"/>
          <w:sz w:val="22"/>
          <w:szCs w:val="22"/>
        </w:rPr>
        <w:t xml:space="preserve"> which are the ‘blended rates’.</w:t>
      </w:r>
    </w:p>
    <w:p w14:paraId="5B42F0FB" w14:textId="47555D2C" w:rsidR="00E255F2" w:rsidRDefault="00E255F2" w:rsidP="003A7CB6">
      <w:pPr>
        <w:rPr>
          <w:rFonts w:cstheme="minorHAnsi"/>
          <w:sz w:val="22"/>
          <w:szCs w:val="22"/>
        </w:rPr>
      </w:pPr>
      <w:r>
        <w:rPr>
          <w:rFonts w:cstheme="minorHAnsi"/>
          <w:sz w:val="22"/>
          <w:szCs w:val="22"/>
        </w:rPr>
        <w:t>Note: if you are unable to split Dementia from care without Dementia, please provide a</w:t>
      </w:r>
      <w:r w:rsidR="00ED6F05">
        <w:rPr>
          <w:rFonts w:cstheme="minorHAnsi"/>
          <w:sz w:val="22"/>
          <w:szCs w:val="22"/>
        </w:rPr>
        <w:t xml:space="preserve"> </w:t>
      </w:r>
      <w:r>
        <w:rPr>
          <w:rFonts w:cstheme="minorHAnsi"/>
          <w:sz w:val="22"/>
          <w:szCs w:val="22"/>
        </w:rPr>
        <w:t xml:space="preserve"> blended Residential and a blended Nursing rate.  This calculation should be the same as the MSIF report submitted in May 2023.</w:t>
      </w:r>
    </w:p>
    <w:p w14:paraId="3B827D4B" w14:textId="77777777" w:rsidR="00EE0A7A" w:rsidRDefault="00EE0A7A" w:rsidP="00EE0A7A">
      <w:pPr>
        <w:rPr>
          <w:rFonts w:cstheme="minorHAnsi"/>
          <w:sz w:val="22"/>
          <w:szCs w:val="22"/>
        </w:rPr>
      </w:pPr>
    </w:p>
    <w:p w14:paraId="5B901903" w14:textId="316B7BFE" w:rsidR="00E255F2" w:rsidRDefault="00E255F2" w:rsidP="00E255F2">
      <w:pPr>
        <w:rPr>
          <w:rFonts w:cstheme="minorHAnsi"/>
          <w:sz w:val="22"/>
          <w:szCs w:val="22"/>
        </w:rPr>
      </w:pPr>
      <w:r>
        <w:rPr>
          <w:rFonts w:cstheme="minorHAnsi"/>
          <w:sz w:val="22"/>
          <w:szCs w:val="22"/>
        </w:rPr>
        <w:t>Q</w:t>
      </w:r>
      <w:r w:rsidR="00072AD2">
        <w:rPr>
          <w:rFonts w:cstheme="minorHAnsi"/>
          <w:sz w:val="22"/>
          <w:szCs w:val="22"/>
        </w:rPr>
        <w:t>3</w:t>
      </w:r>
      <w:r w:rsidRPr="00211EA9">
        <w:rPr>
          <w:rFonts w:cstheme="minorHAnsi"/>
          <w:sz w:val="22"/>
          <w:szCs w:val="22"/>
        </w:rPr>
        <w:t xml:space="preserve">) Please </w:t>
      </w:r>
      <w:r>
        <w:rPr>
          <w:rFonts w:cstheme="minorHAnsi"/>
          <w:sz w:val="22"/>
          <w:szCs w:val="22"/>
        </w:rPr>
        <w:t>provide</w:t>
      </w:r>
      <w:r w:rsidRPr="00211EA9">
        <w:rPr>
          <w:rFonts w:cstheme="minorHAnsi"/>
          <w:sz w:val="22"/>
          <w:szCs w:val="22"/>
        </w:rPr>
        <w:t xml:space="preserve"> </w:t>
      </w:r>
      <w:r>
        <w:rPr>
          <w:rFonts w:cstheme="minorHAnsi"/>
          <w:sz w:val="22"/>
          <w:szCs w:val="22"/>
        </w:rPr>
        <w:t xml:space="preserve">your </w:t>
      </w:r>
      <w:r w:rsidRPr="003A7CB6">
        <w:rPr>
          <w:rFonts w:cstheme="minorHAnsi"/>
          <w:b/>
          <w:bCs/>
          <w:sz w:val="22"/>
          <w:szCs w:val="22"/>
          <w:u w:val="single"/>
        </w:rPr>
        <w:t xml:space="preserve">provisional </w:t>
      </w:r>
      <w:r w:rsidRPr="001C3623">
        <w:rPr>
          <w:rFonts w:cstheme="minorHAnsi"/>
          <w:b/>
          <w:bCs/>
          <w:sz w:val="22"/>
          <w:szCs w:val="22"/>
          <w:u w:val="single"/>
        </w:rPr>
        <w:t>average weekly</w:t>
      </w:r>
      <w:r>
        <w:rPr>
          <w:rFonts w:cstheme="minorHAnsi"/>
          <w:b/>
          <w:bCs/>
          <w:sz w:val="22"/>
          <w:szCs w:val="22"/>
        </w:rPr>
        <w:t xml:space="preserve"> </w:t>
      </w:r>
      <w:r w:rsidRPr="00211EA9">
        <w:rPr>
          <w:rFonts w:cstheme="minorHAnsi"/>
          <w:sz w:val="22"/>
          <w:szCs w:val="22"/>
        </w:rPr>
        <w:t>fee rate (</w:t>
      </w:r>
      <w:r>
        <w:rPr>
          <w:rFonts w:cstheme="minorHAnsi"/>
          <w:sz w:val="22"/>
          <w:szCs w:val="22"/>
        </w:rPr>
        <w:t>calculated consistently with the rate in the question above) for the period 2023-2024</w:t>
      </w:r>
      <w:r w:rsidRPr="00211EA9">
        <w:rPr>
          <w:rFonts w:cstheme="minorHAnsi"/>
          <w:sz w:val="22"/>
          <w:szCs w:val="22"/>
        </w:rPr>
        <w:t xml:space="preserve"> for the following care types:</w:t>
      </w:r>
    </w:p>
    <w:p w14:paraId="421C702A" w14:textId="56360F2D" w:rsidR="00E255F2" w:rsidRPr="00367BF6" w:rsidRDefault="00E255F2" w:rsidP="00E255F2">
      <w:pPr>
        <w:numPr>
          <w:ilvl w:val="0"/>
          <w:numId w:val="12"/>
        </w:numPr>
        <w:rPr>
          <w:rFonts w:cstheme="minorHAnsi"/>
          <w:color w:val="0000FF"/>
          <w:sz w:val="22"/>
          <w:szCs w:val="22"/>
        </w:rPr>
      </w:pPr>
      <w:r w:rsidRPr="00211EA9">
        <w:rPr>
          <w:rFonts w:cstheme="minorHAnsi"/>
          <w:sz w:val="22"/>
          <w:szCs w:val="22"/>
        </w:rPr>
        <w:t>Nursing (Excl. FNC)</w:t>
      </w:r>
      <w:r w:rsidR="0002776E">
        <w:rPr>
          <w:rFonts w:cstheme="minorHAnsi"/>
          <w:sz w:val="22"/>
          <w:szCs w:val="22"/>
        </w:rPr>
        <w:t xml:space="preserve">  </w:t>
      </w:r>
      <w:r w:rsidR="0002776E" w:rsidRPr="00367BF6">
        <w:rPr>
          <w:rFonts w:cstheme="minorHAnsi"/>
          <w:color w:val="0000FF"/>
          <w:sz w:val="22"/>
          <w:szCs w:val="22"/>
        </w:rPr>
        <w:t>Older persons = £1,034, WAA = £1,038</w:t>
      </w:r>
    </w:p>
    <w:p w14:paraId="5807E08F" w14:textId="231D18CB" w:rsidR="00E255F2" w:rsidRPr="00211EA9" w:rsidRDefault="00E255F2" w:rsidP="00E255F2">
      <w:pPr>
        <w:numPr>
          <w:ilvl w:val="0"/>
          <w:numId w:val="12"/>
        </w:numPr>
        <w:rPr>
          <w:rFonts w:cstheme="minorHAnsi"/>
          <w:sz w:val="22"/>
          <w:szCs w:val="22"/>
        </w:rPr>
      </w:pPr>
      <w:r w:rsidRPr="00211EA9">
        <w:rPr>
          <w:rFonts w:cstheme="minorHAnsi"/>
          <w:sz w:val="22"/>
          <w:szCs w:val="22"/>
        </w:rPr>
        <w:t>Nursing with Dementia (Excl. FNC</w:t>
      </w:r>
      <w:r w:rsidRPr="00367BF6">
        <w:rPr>
          <w:rFonts w:cstheme="minorHAnsi"/>
          <w:color w:val="0000FF"/>
          <w:sz w:val="22"/>
          <w:szCs w:val="22"/>
        </w:rPr>
        <w:t>)</w:t>
      </w:r>
      <w:r w:rsidR="0002776E" w:rsidRPr="00367BF6">
        <w:rPr>
          <w:rFonts w:cstheme="minorHAnsi"/>
          <w:color w:val="0000FF"/>
          <w:sz w:val="22"/>
          <w:szCs w:val="22"/>
        </w:rPr>
        <w:t xml:space="preserve">  – see response to part A which are the ‘blended rates’.</w:t>
      </w:r>
    </w:p>
    <w:p w14:paraId="233C8F85" w14:textId="707C8D08" w:rsidR="0002776E" w:rsidRPr="00367BF6" w:rsidRDefault="00E255F2" w:rsidP="0002776E">
      <w:pPr>
        <w:pStyle w:val="ListParagraph"/>
        <w:numPr>
          <w:ilvl w:val="0"/>
          <w:numId w:val="12"/>
        </w:numPr>
        <w:rPr>
          <w:rFonts w:asciiTheme="minorHAnsi" w:eastAsiaTheme="minorHAnsi" w:hAnsiTheme="minorHAnsi" w:cstheme="minorHAnsi"/>
          <w:color w:val="0000FF"/>
          <w:sz w:val="22"/>
          <w:szCs w:val="22"/>
          <w:lang w:eastAsia="en-US"/>
        </w:rPr>
      </w:pPr>
      <w:r w:rsidRPr="0002776E">
        <w:rPr>
          <w:rFonts w:cstheme="minorHAnsi"/>
          <w:sz w:val="22"/>
          <w:szCs w:val="22"/>
        </w:rPr>
        <w:t>Residential (without nursing)</w:t>
      </w:r>
      <w:r w:rsidR="0002776E" w:rsidRPr="0002776E">
        <w:rPr>
          <w:rFonts w:cstheme="minorHAnsi"/>
          <w:sz w:val="22"/>
          <w:szCs w:val="22"/>
        </w:rPr>
        <w:t xml:space="preserve">  </w:t>
      </w:r>
      <w:r w:rsidR="0002776E" w:rsidRPr="00367BF6">
        <w:rPr>
          <w:rFonts w:asciiTheme="minorHAnsi" w:eastAsiaTheme="minorHAnsi" w:hAnsiTheme="minorHAnsi" w:cstheme="minorHAnsi"/>
          <w:color w:val="0000FF"/>
          <w:sz w:val="22"/>
          <w:szCs w:val="22"/>
          <w:lang w:eastAsia="en-US"/>
        </w:rPr>
        <w:t>Older persons = £878, WAA = £1,637</w:t>
      </w:r>
    </w:p>
    <w:p w14:paraId="1D33914E" w14:textId="1636A242" w:rsidR="0002776E" w:rsidRPr="00367BF6" w:rsidRDefault="00E255F2" w:rsidP="0002776E">
      <w:pPr>
        <w:pStyle w:val="ListParagraph"/>
        <w:numPr>
          <w:ilvl w:val="0"/>
          <w:numId w:val="12"/>
        </w:numPr>
        <w:rPr>
          <w:rFonts w:asciiTheme="minorHAnsi" w:eastAsiaTheme="minorHAnsi" w:hAnsiTheme="minorHAnsi" w:cstheme="minorHAnsi"/>
          <w:color w:val="0000FF"/>
          <w:sz w:val="22"/>
          <w:szCs w:val="22"/>
          <w:lang w:eastAsia="en-US"/>
        </w:rPr>
      </w:pPr>
      <w:r w:rsidRPr="0002776E">
        <w:rPr>
          <w:rFonts w:cstheme="minorHAnsi"/>
          <w:sz w:val="22"/>
          <w:szCs w:val="22"/>
        </w:rPr>
        <w:t>Residential (without nursing) with Dementia</w:t>
      </w:r>
      <w:r w:rsidR="0002776E" w:rsidRPr="0002776E">
        <w:rPr>
          <w:rFonts w:cstheme="minorHAnsi"/>
          <w:sz w:val="22"/>
          <w:szCs w:val="22"/>
        </w:rPr>
        <w:t xml:space="preserve">  </w:t>
      </w:r>
      <w:r w:rsidR="0002776E" w:rsidRPr="00367BF6">
        <w:rPr>
          <w:rFonts w:asciiTheme="minorHAnsi" w:eastAsiaTheme="minorHAnsi" w:hAnsiTheme="minorHAnsi" w:cstheme="minorHAnsi"/>
          <w:color w:val="0000FF"/>
          <w:sz w:val="22"/>
          <w:szCs w:val="22"/>
          <w:lang w:eastAsia="en-US"/>
        </w:rPr>
        <w:t xml:space="preserve">– see response to part </w:t>
      </w:r>
      <w:r w:rsidR="00ED6D30" w:rsidRPr="00367BF6">
        <w:rPr>
          <w:rFonts w:asciiTheme="minorHAnsi" w:eastAsiaTheme="minorHAnsi" w:hAnsiTheme="minorHAnsi" w:cstheme="minorHAnsi"/>
          <w:color w:val="0000FF"/>
          <w:sz w:val="22"/>
          <w:szCs w:val="22"/>
          <w:lang w:eastAsia="en-US"/>
        </w:rPr>
        <w:t>C</w:t>
      </w:r>
      <w:r w:rsidR="0002776E" w:rsidRPr="00367BF6">
        <w:rPr>
          <w:rFonts w:asciiTheme="minorHAnsi" w:eastAsiaTheme="minorHAnsi" w:hAnsiTheme="minorHAnsi" w:cstheme="minorHAnsi"/>
          <w:color w:val="0000FF"/>
          <w:sz w:val="22"/>
          <w:szCs w:val="22"/>
          <w:lang w:eastAsia="en-US"/>
        </w:rPr>
        <w:t xml:space="preserve"> which are the ‘blended rates’.</w:t>
      </w:r>
    </w:p>
    <w:p w14:paraId="7506DC1C" w14:textId="77777777" w:rsidR="00E255F2" w:rsidRDefault="00E255F2" w:rsidP="00E255F2">
      <w:pPr>
        <w:rPr>
          <w:rFonts w:cstheme="minorHAnsi"/>
          <w:sz w:val="22"/>
          <w:szCs w:val="22"/>
        </w:rPr>
      </w:pPr>
      <w:r>
        <w:rPr>
          <w:rFonts w:cstheme="minorHAnsi"/>
          <w:sz w:val="22"/>
          <w:szCs w:val="22"/>
        </w:rPr>
        <w:lastRenderedPageBreak/>
        <w:t>Note: if you are unable to split Dementia from care without Dementia, please provide a blended Residential and a blended Nursing rate.  This calculation should be the same as the MSIF report submitted in May 2023.</w:t>
      </w:r>
    </w:p>
    <w:p w14:paraId="70A95717" w14:textId="77777777" w:rsidR="0076560A" w:rsidRDefault="0076560A" w:rsidP="00AE30F9">
      <w:pPr>
        <w:rPr>
          <w:rFonts w:cstheme="minorHAnsi"/>
          <w:sz w:val="22"/>
          <w:szCs w:val="22"/>
        </w:rPr>
      </w:pPr>
    </w:p>
    <w:p w14:paraId="6D1BC174" w14:textId="5A36D7CE" w:rsidR="00E255F2" w:rsidRDefault="00AE30F9">
      <w:pPr>
        <w:rPr>
          <w:rFonts w:cstheme="minorHAnsi"/>
          <w:sz w:val="22"/>
          <w:szCs w:val="22"/>
        </w:rPr>
      </w:pPr>
      <w:r w:rsidRPr="00AE30F9">
        <w:rPr>
          <w:rFonts w:cstheme="minorHAnsi"/>
          <w:sz w:val="22"/>
          <w:szCs w:val="22"/>
        </w:rPr>
        <w:t>Q</w:t>
      </w:r>
      <w:r w:rsidR="00072AD2">
        <w:rPr>
          <w:rFonts w:cstheme="minorHAnsi"/>
          <w:sz w:val="22"/>
          <w:szCs w:val="22"/>
        </w:rPr>
        <w:t>4</w:t>
      </w:r>
      <w:r>
        <w:rPr>
          <w:rFonts w:cstheme="minorHAnsi"/>
          <w:sz w:val="22"/>
          <w:szCs w:val="22"/>
        </w:rPr>
        <w:t>)</w:t>
      </w:r>
      <w:r w:rsidRPr="00AE30F9">
        <w:rPr>
          <w:rFonts w:cstheme="minorHAnsi"/>
          <w:sz w:val="22"/>
          <w:szCs w:val="22"/>
        </w:rPr>
        <w:t xml:space="preserve">  </w:t>
      </w:r>
      <w:r w:rsidR="00E255F2">
        <w:rPr>
          <w:rFonts w:cstheme="minorHAnsi"/>
          <w:sz w:val="22"/>
          <w:szCs w:val="22"/>
        </w:rPr>
        <w:t xml:space="preserve">Please confirm if your authority requires or provisions for care providers to pay care staff a rate higher than the National Living Wage and outline the support on offer to </w:t>
      </w:r>
      <w:r w:rsidR="00B908B4">
        <w:rPr>
          <w:rFonts w:cstheme="minorHAnsi"/>
          <w:sz w:val="22"/>
          <w:szCs w:val="22"/>
        </w:rPr>
        <w:t>do so.</w:t>
      </w:r>
    </w:p>
    <w:p w14:paraId="0501DEB1" w14:textId="33C8F282" w:rsidR="00FA2875" w:rsidRDefault="00FA2875">
      <w:pPr>
        <w:rPr>
          <w:rFonts w:cstheme="minorHAnsi"/>
          <w:sz w:val="22"/>
          <w:szCs w:val="22"/>
        </w:rPr>
      </w:pPr>
    </w:p>
    <w:p w14:paraId="3F0C46A2" w14:textId="71562B87" w:rsidR="00FA2875" w:rsidRPr="00367BF6" w:rsidRDefault="00FA2875">
      <w:pPr>
        <w:rPr>
          <w:rFonts w:cstheme="minorHAnsi"/>
          <w:color w:val="0000FF"/>
          <w:sz w:val="22"/>
          <w:szCs w:val="22"/>
        </w:rPr>
      </w:pPr>
      <w:r w:rsidRPr="00367BF6">
        <w:rPr>
          <w:rFonts w:cstheme="minorHAnsi"/>
          <w:color w:val="0000FF"/>
          <w:sz w:val="22"/>
          <w:szCs w:val="22"/>
        </w:rPr>
        <w:t xml:space="preserve">Care providers are encouraged to pay care staff the real living wage but are not mandated to do so. Within the Council’s residential and nursing banded fee rates, wage rates </w:t>
      </w:r>
      <w:r w:rsidR="00ED6D30" w:rsidRPr="00367BF6">
        <w:rPr>
          <w:rFonts w:cstheme="minorHAnsi"/>
          <w:color w:val="0000FF"/>
          <w:sz w:val="22"/>
          <w:szCs w:val="22"/>
        </w:rPr>
        <w:t xml:space="preserve">are as a minimum at the appropriate NLW rate, with </w:t>
      </w:r>
      <w:r w:rsidRPr="00367BF6">
        <w:rPr>
          <w:rFonts w:cstheme="minorHAnsi"/>
          <w:color w:val="0000FF"/>
          <w:sz w:val="22"/>
          <w:szCs w:val="22"/>
        </w:rPr>
        <w:t>many roles above the NLW</w:t>
      </w:r>
      <w:r w:rsidR="00ED6D30" w:rsidRPr="00367BF6">
        <w:rPr>
          <w:rFonts w:cstheme="minorHAnsi"/>
          <w:color w:val="0000FF"/>
          <w:sz w:val="22"/>
          <w:szCs w:val="22"/>
        </w:rPr>
        <w:t xml:space="preserve"> rate</w:t>
      </w:r>
      <w:r w:rsidRPr="00367BF6">
        <w:rPr>
          <w:rFonts w:cstheme="minorHAnsi"/>
          <w:color w:val="0000FF"/>
          <w:sz w:val="22"/>
          <w:szCs w:val="22"/>
        </w:rPr>
        <w:t xml:space="preserve">. </w:t>
      </w:r>
    </w:p>
    <w:p w14:paraId="11D0DDEB" w14:textId="14DE4E39" w:rsidR="00EB4324" w:rsidRPr="00367BF6" w:rsidRDefault="00EB4324">
      <w:pPr>
        <w:rPr>
          <w:rFonts w:cstheme="minorHAnsi"/>
          <w:color w:val="0000FF"/>
          <w:sz w:val="22"/>
          <w:szCs w:val="22"/>
        </w:rPr>
      </w:pPr>
    </w:p>
    <w:p w14:paraId="2F6BAFFC" w14:textId="3592C275" w:rsidR="00EB4324" w:rsidRPr="00367BF6" w:rsidRDefault="00EB4324">
      <w:pPr>
        <w:rPr>
          <w:rFonts w:cstheme="minorHAnsi"/>
          <w:color w:val="0000FF"/>
          <w:sz w:val="22"/>
          <w:szCs w:val="22"/>
        </w:rPr>
      </w:pPr>
      <w:r w:rsidRPr="00367BF6">
        <w:rPr>
          <w:rFonts w:cstheme="minorHAnsi"/>
          <w:color w:val="0000FF"/>
          <w:sz w:val="22"/>
          <w:szCs w:val="22"/>
        </w:rPr>
        <w:t>There does not appear to be a Q5 in this template to respond to?</w:t>
      </w:r>
    </w:p>
    <w:p w14:paraId="5B099F15" w14:textId="77777777" w:rsidR="00E255F2" w:rsidRDefault="00E255F2">
      <w:pPr>
        <w:rPr>
          <w:rFonts w:cstheme="minorHAnsi"/>
          <w:sz w:val="22"/>
          <w:szCs w:val="22"/>
        </w:rPr>
      </w:pPr>
    </w:p>
    <w:p w14:paraId="7712F277" w14:textId="22259BA1" w:rsidR="00B908B4" w:rsidRPr="00AE30F9" w:rsidRDefault="00B908B4" w:rsidP="00AE30F9">
      <w:pPr>
        <w:rPr>
          <w:rFonts w:cstheme="minorHAnsi"/>
          <w:sz w:val="22"/>
          <w:szCs w:val="22"/>
        </w:rPr>
      </w:pPr>
      <w:r>
        <w:rPr>
          <w:rFonts w:cstheme="minorHAnsi"/>
          <w:sz w:val="22"/>
          <w:szCs w:val="22"/>
        </w:rPr>
        <w:t>Q6) Based on your local authority calculation of the Fair Cost of Care submitted in March 2023 to the DHSC, please confirm the rates your authority deems applicable for the period 2023 to 2024 for:</w:t>
      </w:r>
    </w:p>
    <w:p w14:paraId="06E67442" w14:textId="77777777" w:rsidR="00B908B4" w:rsidRPr="00211EA9" w:rsidRDefault="00B908B4" w:rsidP="00B908B4">
      <w:pPr>
        <w:numPr>
          <w:ilvl w:val="0"/>
          <w:numId w:val="13"/>
        </w:numPr>
        <w:rPr>
          <w:rFonts w:cstheme="minorHAnsi"/>
          <w:sz w:val="22"/>
          <w:szCs w:val="22"/>
        </w:rPr>
      </w:pPr>
      <w:r w:rsidRPr="00211EA9">
        <w:rPr>
          <w:rFonts w:cstheme="minorHAnsi"/>
          <w:sz w:val="22"/>
          <w:szCs w:val="22"/>
        </w:rPr>
        <w:t>Nursing (Excl. FNC)</w:t>
      </w:r>
    </w:p>
    <w:p w14:paraId="5206ADAA" w14:textId="7D84B00F" w:rsidR="00B908B4" w:rsidRPr="00211EA9" w:rsidRDefault="00B908B4" w:rsidP="00B908B4">
      <w:pPr>
        <w:numPr>
          <w:ilvl w:val="0"/>
          <w:numId w:val="13"/>
        </w:numPr>
        <w:rPr>
          <w:rFonts w:cstheme="minorHAnsi"/>
          <w:sz w:val="22"/>
          <w:szCs w:val="22"/>
        </w:rPr>
      </w:pPr>
      <w:r w:rsidRPr="00211EA9">
        <w:rPr>
          <w:rFonts w:cstheme="minorHAnsi"/>
          <w:sz w:val="22"/>
          <w:szCs w:val="22"/>
        </w:rPr>
        <w:t xml:space="preserve">Nursing </w:t>
      </w:r>
      <w:r>
        <w:rPr>
          <w:rFonts w:cstheme="minorHAnsi"/>
          <w:sz w:val="22"/>
          <w:szCs w:val="22"/>
        </w:rPr>
        <w:t>Enhanced</w:t>
      </w:r>
      <w:r w:rsidRPr="00211EA9">
        <w:rPr>
          <w:rFonts w:cstheme="minorHAnsi"/>
          <w:sz w:val="22"/>
          <w:szCs w:val="22"/>
        </w:rPr>
        <w:t xml:space="preserve"> (Excl. FNC)</w:t>
      </w:r>
    </w:p>
    <w:p w14:paraId="65413A9B" w14:textId="77777777" w:rsidR="00B908B4" w:rsidRPr="00211EA9" w:rsidRDefault="00B908B4" w:rsidP="00B908B4">
      <w:pPr>
        <w:numPr>
          <w:ilvl w:val="0"/>
          <w:numId w:val="13"/>
        </w:numPr>
        <w:rPr>
          <w:rFonts w:cstheme="minorHAnsi"/>
          <w:sz w:val="22"/>
          <w:szCs w:val="22"/>
        </w:rPr>
      </w:pPr>
      <w:r w:rsidRPr="00211EA9">
        <w:rPr>
          <w:rFonts w:cstheme="minorHAnsi"/>
          <w:sz w:val="22"/>
          <w:szCs w:val="22"/>
        </w:rPr>
        <w:t>Residential (without nursing)</w:t>
      </w:r>
    </w:p>
    <w:p w14:paraId="26302F5D" w14:textId="32FF71A9" w:rsidR="00B908B4" w:rsidRDefault="00B908B4" w:rsidP="003A7CB6">
      <w:pPr>
        <w:numPr>
          <w:ilvl w:val="0"/>
          <w:numId w:val="13"/>
        </w:numPr>
        <w:rPr>
          <w:rFonts w:cstheme="minorHAnsi"/>
          <w:sz w:val="22"/>
          <w:szCs w:val="22"/>
        </w:rPr>
      </w:pPr>
      <w:r w:rsidRPr="00211EA9">
        <w:rPr>
          <w:rFonts w:cstheme="minorHAnsi"/>
          <w:sz w:val="22"/>
          <w:szCs w:val="22"/>
        </w:rPr>
        <w:t xml:space="preserve">Residential </w:t>
      </w:r>
      <w:r>
        <w:rPr>
          <w:rFonts w:cstheme="minorHAnsi"/>
          <w:sz w:val="22"/>
          <w:szCs w:val="22"/>
        </w:rPr>
        <w:t>Enhanced</w:t>
      </w:r>
      <w:r w:rsidRPr="00211EA9">
        <w:rPr>
          <w:rFonts w:cstheme="minorHAnsi"/>
          <w:sz w:val="22"/>
          <w:szCs w:val="22"/>
        </w:rPr>
        <w:t xml:space="preserve"> with Dementia</w:t>
      </w:r>
    </w:p>
    <w:p w14:paraId="0CB84208" w14:textId="13C9D406" w:rsidR="00F944D4" w:rsidRDefault="00F944D4" w:rsidP="00F944D4">
      <w:pPr>
        <w:rPr>
          <w:rFonts w:cstheme="minorHAnsi"/>
          <w:sz w:val="22"/>
          <w:szCs w:val="22"/>
        </w:rPr>
      </w:pPr>
    </w:p>
    <w:p w14:paraId="6B8482DB" w14:textId="4C68AB52" w:rsidR="001F163D" w:rsidRPr="00367BF6" w:rsidRDefault="001F163D" w:rsidP="001F163D">
      <w:pPr>
        <w:shd w:val="clear" w:color="auto" w:fill="FFFFFF"/>
        <w:rPr>
          <w:rFonts w:ascii="Segoe UI" w:eastAsia="Calibri" w:hAnsi="Segoe UI" w:cs="Segoe UI"/>
          <w:color w:val="0000FF"/>
          <w:sz w:val="20"/>
          <w:szCs w:val="20"/>
          <w:lang w:eastAsia="en-GB"/>
        </w:rPr>
      </w:pPr>
      <w:r w:rsidRPr="00367BF6">
        <w:rPr>
          <w:rFonts w:cstheme="minorHAnsi"/>
          <w:color w:val="0000FF"/>
          <w:sz w:val="22"/>
          <w:szCs w:val="22"/>
        </w:rPr>
        <w:t xml:space="preserve">The document submitted to DHSC in March 2023 was the Market Sustainability Plan. This included a section on anticipated fee rates for 2023/24. This submission was published – see the following link: </w:t>
      </w:r>
      <w:hyperlink r:id="rId9" w:history="1">
        <w:r w:rsidRPr="00367BF6">
          <w:rPr>
            <w:rStyle w:val="Hyperlink"/>
            <w:rFonts w:ascii="Segoe UI" w:eastAsia="Calibri" w:hAnsi="Segoe UI" w:cs="Segoe UI"/>
            <w:color w:val="0000FF"/>
            <w:sz w:val="20"/>
            <w:szCs w:val="20"/>
            <w:lang w:eastAsia="en-GB"/>
          </w:rPr>
          <w:t>https://www.leicester.gov.uk/your-council/policies-plans-and-strategies/social-care-and-education/market-sustainability-plans-for-residential-and-nursing-care-65-and-home-care-18-2023/</w:t>
        </w:r>
      </w:hyperlink>
      <w:r w:rsidRPr="00367BF6">
        <w:rPr>
          <w:rFonts w:ascii="Segoe UI" w:eastAsia="Calibri" w:hAnsi="Segoe UI" w:cs="Segoe UI"/>
          <w:color w:val="0000FF"/>
          <w:sz w:val="20"/>
          <w:szCs w:val="20"/>
          <w:lang w:eastAsia="en-GB"/>
        </w:rPr>
        <w:t>.</w:t>
      </w:r>
    </w:p>
    <w:p w14:paraId="559D0EFB" w14:textId="77777777" w:rsidR="001F163D" w:rsidRPr="00367BF6" w:rsidRDefault="001F163D" w:rsidP="001F163D">
      <w:pPr>
        <w:rPr>
          <w:rFonts w:ascii="Calibri" w:eastAsia="Calibri" w:hAnsi="Calibri" w:cs="Calibri"/>
          <w:color w:val="0000FF"/>
          <w:sz w:val="22"/>
          <w:szCs w:val="22"/>
          <w:lang w:eastAsia="en-GB"/>
        </w:rPr>
      </w:pPr>
    </w:p>
    <w:p w14:paraId="119A0D77" w14:textId="65340DAE" w:rsidR="001F163D" w:rsidRPr="00367BF6" w:rsidRDefault="001F163D" w:rsidP="00F944D4">
      <w:pPr>
        <w:rPr>
          <w:rFonts w:cstheme="minorHAnsi"/>
          <w:color w:val="0000FF"/>
          <w:sz w:val="22"/>
          <w:szCs w:val="22"/>
        </w:rPr>
      </w:pPr>
      <w:r w:rsidRPr="00367BF6">
        <w:rPr>
          <w:rFonts w:cstheme="minorHAnsi"/>
          <w:color w:val="0000FF"/>
          <w:sz w:val="22"/>
          <w:szCs w:val="22"/>
        </w:rPr>
        <w:t>Note the anticipated fee rates were aligned to our base fee (i.e. banded rates). For actual rates being paid – see response to Q3 above – actual rates paid include the banded element + any additional needs allowances reflecting actual care provided.</w:t>
      </w:r>
    </w:p>
    <w:p w14:paraId="3E6F8941" w14:textId="77777777" w:rsidR="001F163D" w:rsidRDefault="001F163D" w:rsidP="00F944D4">
      <w:pPr>
        <w:rPr>
          <w:rFonts w:cstheme="minorHAnsi"/>
          <w:color w:val="FF0000"/>
          <w:sz w:val="22"/>
          <w:szCs w:val="22"/>
        </w:rPr>
      </w:pPr>
    </w:p>
    <w:p w14:paraId="67B18FBC" w14:textId="1FEAC1C5" w:rsidR="00B908B4" w:rsidRDefault="00B908B4">
      <w:pPr>
        <w:rPr>
          <w:rFonts w:cstheme="minorHAnsi"/>
          <w:sz w:val="22"/>
          <w:szCs w:val="22"/>
        </w:rPr>
      </w:pPr>
      <w:r>
        <w:rPr>
          <w:rFonts w:cstheme="minorHAnsi"/>
          <w:sz w:val="22"/>
          <w:szCs w:val="22"/>
        </w:rPr>
        <w:t xml:space="preserve">Q7) Please share a copy of the Market Sustainability Improvement Fund Initial Metric Reporting Template (May 2023) submitted to the DHSC as stated in the following guidance: </w:t>
      </w:r>
      <w:hyperlink r:id="rId10" w:anchor="full-publication-update-history" w:history="1">
        <w:r w:rsidRPr="00EB052C">
          <w:rPr>
            <w:rStyle w:val="Hyperlink"/>
            <w:rFonts w:cstheme="minorHAnsi"/>
            <w:sz w:val="22"/>
            <w:szCs w:val="22"/>
          </w:rPr>
          <w:t>https://www.gov.uk/government/publications/market-sustainability-and-improvement-fund-2023-to-2024#full-publication-update-history</w:t>
        </w:r>
      </w:hyperlink>
      <w:r>
        <w:rPr>
          <w:rFonts w:cstheme="minorHAnsi"/>
          <w:sz w:val="22"/>
          <w:szCs w:val="22"/>
        </w:rPr>
        <w:t xml:space="preserve"> </w:t>
      </w:r>
    </w:p>
    <w:p w14:paraId="0C1864E2" w14:textId="1EE2DC10" w:rsidR="00207004" w:rsidRDefault="00207004">
      <w:pPr>
        <w:rPr>
          <w:rFonts w:cstheme="minorHAnsi"/>
          <w:sz w:val="22"/>
          <w:szCs w:val="22"/>
        </w:rPr>
      </w:pPr>
    </w:p>
    <w:p w14:paraId="251E7776" w14:textId="4F855785" w:rsidR="005B7330" w:rsidRPr="00367BF6" w:rsidRDefault="005B7330">
      <w:pPr>
        <w:rPr>
          <w:rFonts w:cstheme="minorHAnsi"/>
          <w:color w:val="0000FF"/>
          <w:sz w:val="22"/>
          <w:szCs w:val="22"/>
        </w:rPr>
      </w:pPr>
      <w:r w:rsidRPr="00367BF6">
        <w:rPr>
          <w:rFonts w:cstheme="minorHAnsi"/>
          <w:color w:val="0000FF"/>
          <w:sz w:val="22"/>
          <w:szCs w:val="22"/>
        </w:rPr>
        <w:t xml:space="preserve">We have not provided the reporting template </w:t>
      </w:r>
      <w:r w:rsidR="00AB71F1" w:rsidRPr="00367BF6">
        <w:rPr>
          <w:rFonts w:cstheme="minorHAnsi"/>
          <w:color w:val="0000FF"/>
          <w:sz w:val="22"/>
          <w:szCs w:val="22"/>
        </w:rPr>
        <w:t xml:space="preserve">as some of the data contained within that document is already included within other questions within this FOIA. </w:t>
      </w:r>
    </w:p>
    <w:p w14:paraId="64FCF90D" w14:textId="77777777" w:rsidR="005B7330" w:rsidRPr="00367BF6" w:rsidRDefault="005B7330">
      <w:pPr>
        <w:rPr>
          <w:rFonts w:cstheme="minorHAnsi"/>
          <w:color w:val="0000FF"/>
          <w:sz w:val="22"/>
          <w:szCs w:val="22"/>
        </w:rPr>
      </w:pPr>
    </w:p>
    <w:p w14:paraId="6B58608D" w14:textId="2B03E43F" w:rsidR="007A6FC6" w:rsidRPr="00367BF6" w:rsidRDefault="00AB71F1">
      <w:pPr>
        <w:rPr>
          <w:rFonts w:cstheme="minorHAnsi"/>
          <w:color w:val="0000FF"/>
          <w:sz w:val="22"/>
          <w:szCs w:val="22"/>
        </w:rPr>
      </w:pPr>
      <w:r w:rsidRPr="00367BF6">
        <w:rPr>
          <w:rFonts w:cstheme="minorHAnsi"/>
          <w:color w:val="0000FF"/>
          <w:sz w:val="22"/>
          <w:szCs w:val="22"/>
        </w:rPr>
        <w:t>For clarity, w</w:t>
      </w:r>
      <w:r w:rsidR="007A6FC6" w:rsidRPr="00367BF6">
        <w:rPr>
          <w:rFonts w:cstheme="minorHAnsi"/>
          <w:color w:val="0000FF"/>
          <w:sz w:val="22"/>
          <w:szCs w:val="22"/>
        </w:rPr>
        <w:t>ithin the MSIF Metric Reporting Template submitted to DHSC in May 23</w:t>
      </w:r>
      <w:r w:rsidRPr="00367BF6">
        <w:rPr>
          <w:rFonts w:cstheme="minorHAnsi"/>
          <w:color w:val="0000FF"/>
          <w:sz w:val="22"/>
          <w:szCs w:val="22"/>
        </w:rPr>
        <w:t>, for the 3 reporting areas</w:t>
      </w:r>
      <w:r w:rsidR="007A6FC6" w:rsidRPr="00367BF6">
        <w:rPr>
          <w:rFonts w:cstheme="minorHAnsi"/>
          <w:color w:val="0000FF"/>
          <w:sz w:val="22"/>
          <w:szCs w:val="22"/>
        </w:rPr>
        <w:t>:</w:t>
      </w:r>
    </w:p>
    <w:p w14:paraId="2DD7CDEA" w14:textId="77777777" w:rsidR="007A6FC6" w:rsidRPr="00367BF6" w:rsidRDefault="007A6FC6">
      <w:pPr>
        <w:rPr>
          <w:rFonts w:cstheme="minorHAnsi"/>
          <w:color w:val="0000FF"/>
          <w:sz w:val="22"/>
          <w:szCs w:val="22"/>
        </w:rPr>
      </w:pPr>
    </w:p>
    <w:p w14:paraId="23736630" w14:textId="076CE9B5" w:rsidR="007A6FC6" w:rsidRPr="00367BF6" w:rsidRDefault="007A6FC6">
      <w:pPr>
        <w:rPr>
          <w:rFonts w:cstheme="minorHAnsi"/>
          <w:b/>
          <w:bCs/>
          <w:color w:val="0000FF"/>
          <w:sz w:val="22"/>
          <w:szCs w:val="22"/>
        </w:rPr>
      </w:pPr>
      <w:r w:rsidRPr="00367BF6">
        <w:rPr>
          <w:rFonts w:cstheme="minorHAnsi"/>
          <w:b/>
          <w:bCs/>
          <w:color w:val="0000FF"/>
          <w:sz w:val="22"/>
          <w:szCs w:val="22"/>
        </w:rPr>
        <w:t>Fee Rates:</w:t>
      </w:r>
    </w:p>
    <w:p w14:paraId="0A6C1177" w14:textId="4AD99B0C" w:rsidR="00B908B4" w:rsidRPr="00367BF6" w:rsidRDefault="007A6FC6">
      <w:pPr>
        <w:rPr>
          <w:rFonts w:cstheme="minorHAnsi"/>
          <w:color w:val="0000FF"/>
          <w:sz w:val="22"/>
          <w:szCs w:val="22"/>
        </w:rPr>
      </w:pPr>
      <w:r w:rsidRPr="00367BF6">
        <w:rPr>
          <w:rFonts w:cstheme="minorHAnsi"/>
          <w:color w:val="0000FF"/>
          <w:sz w:val="22"/>
          <w:szCs w:val="22"/>
        </w:rPr>
        <w:t>The specific fee information pertaining to residential/nursing care provision for 2022/23 and 2023/24 has already been reproduced above in response to Q2 and Q3</w:t>
      </w:r>
      <w:r w:rsidR="00DF5DE5" w:rsidRPr="00367BF6">
        <w:rPr>
          <w:rFonts w:cstheme="minorHAnsi"/>
          <w:color w:val="0000FF"/>
          <w:sz w:val="22"/>
          <w:szCs w:val="22"/>
        </w:rPr>
        <w:t xml:space="preserve"> of this FOIA</w:t>
      </w:r>
      <w:r w:rsidRPr="00367BF6">
        <w:rPr>
          <w:rFonts w:cstheme="minorHAnsi"/>
          <w:color w:val="0000FF"/>
          <w:sz w:val="22"/>
          <w:szCs w:val="22"/>
        </w:rPr>
        <w:t xml:space="preserve"> – average fee rates. </w:t>
      </w:r>
    </w:p>
    <w:p w14:paraId="01FAB5C1" w14:textId="0A1B63E4" w:rsidR="007A6FC6" w:rsidRPr="00367BF6" w:rsidRDefault="007A6FC6">
      <w:pPr>
        <w:rPr>
          <w:rFonts w:cstheme="minorHAnsi"/>
          <w:color w:val="0000FF"/>
          <w:sz w:val="22"/>
          <w:szCs w:val="22"/>
        </w:rPr>
      </w:pPr>
    </w:p>
    <w:p w14:paraId="57D3CCD7" w14:textId="58360033" w:rsidR="007A6FC6" w:rsidRPr="00367BF6" w:rsidRDefault="007A6FC6">
      <w:pPr>
        <w:rPr>
          <w:rFonts w:cstheme="minorHAnsi"/>
          <w:b/>
          <w:bCs/>
          <w:color w:val="0000FF"/>
          <w:sz w:val="22"/>
          <w:szCs w:val="22"/>
        </w:rPr>
      </w:pPr>
      <w:r w:rsidRPr="00367BF6">
        <w:rPr>
          <w:rFonts w:cstheme="minorHAnsi"/>
          <w:b/>
          <w:bCs/>
          <w:color w:val="0000FF"/>
          <w:sz w:val="22"/>
          <w:szCs w:val="22"/>
        </w:rPr>
        <w:t>Waiting Times:</w:t>
      </w:r>
    </w:p>
    <w:p w14:paraId="2AB27DB2" w14:textId="307952FD" w:rsidR="007A6FC6" w:rsidRPr="00367BF6" w:rsidRDefault="007A6FC6">
      <w:pPr>
        <w:rPr>
          <w:rFonts w:cstheme="minorHAnsi"/>
          <w:color w:val="0000FF"/>
          <w:sz w:val="22"/>
          <w:szCs w:val="22"/>
        </w:rPr>
      </w:pPr>
      <w:r w:rsidRPr="00367BF6">
        <w:rPr>
          <w:rFonts w:cstheme="minorHAnsi"/>
          <w:color w:val="0000FF"/>
          <w:sz w:val="22"/>
          <w:szCs w:val="22"/>
        </w:rPr>
        <w:t xml:space="preserve">The Council provided an alternative metric value </w:t>
      </w:r>
      <w:r w:rsidR="005B7330" w:rsidRPr="00367BF6">
        <w:rPr>
          <w:rFonts w:cstheme="minorHAnsi"/>
          <w:color w:val="0000FF"/>
          <w:sz w:val="22"/>
          <w:szCs w:val="22"/>
        </w:rPr>
        <w:t xml:space="preserve">in the form of </w:t>
      </w:r>
      <w:r w:rsidR="00DF5DE5" w:rsidRPr="00367BF6">
        <w:rPr>
          <w:rFonts w:cstheme="minorHAnsi"/>
          <w:color w:val="0000FF"/>
          <w:sz w:val="22"/>
          <w:szCs w:val="22"/>
        </w:rPr>
        <w:t>n</w:t>
      </w:r>
      <w:r w:rsidR="005B7330" w:rsidRPr="00367BF6">
        <w:rPr>
          <w:rFonts w:cstheme="minorHAnsi"/>
          <w:color w:val="0000FF"/>
          <w:sz w:val="22"/>
          <w:szCs w:val="22"/>
        </w:rPr>
        <w:t>umber of people waiting for an assessment or waiting for care and support or a direct payment to begin following a completed assessment = 986.</w:t>
      </w:r>
    </w:p>
    <w:p w14:paraId="60ED71A9" w14:textId="102E519D" w:rsidR="007A6FC6" w:rsidRPr="00367BF6" w:rsidRDefault="007A6FC6">
      <w:pPr>
        <w:rPr>
          <w:rFonts w:cstheme="minorHAnsi"/>
          <w:color w:val="0000FF"/>
          <w:sz w:val="22"/>
          <w:szCs w:val="22"/>
        </w:rPr>
      </w:pPr>
    </w:p>
    <w:p w14:paraId="2AA7491D" w14:textId="77777777" w:rsidR="00DF5DE5" w:rsidRPr="00367BF6" w:rsidRDefault="00DF5DE5">
      <w:pPr>
        <w:rPr>
          <w:rFonts w:cstheme="minorHAnsi"/>
          <w:b/>
          <w:bCs/>
          <w:color w:val="0000FF"/>
          <w:sz w:val="22"/>
          <w:szCs w:val="22"/>
        </w:rPr>
      </w:pPr>
    </w:p>
    <w:p w14:paraId="6DC82BCF" w14:textId="77777777" w:rsidR="00DF5DE5" w:rsidRDefault="00DF5DE5">
      <w:pPr>
        <w:rPr>
          <w:rFonts w:cstheme="minorHAnsi"/>
          <w:b/>
          <w:bCs/>
          <w:color w:val="FF0000"/>
          <w:sz w:val="22"/>
          <w:szCs w:val="22"/>
        </w:rPr>
      </w:pPr>
    </w:p>
    <w:p w14:paraId="5BFDB91E" w14:textId="6EAC9474" w:rsidR="007A6FC6" w:rsidRPr="00367BF6" w:rsidRDefault="00AB71F1">
      <w:pPr>
        <w:rPr>
          <w:rFonts w:cstheme="minorHAnsi"/>
          <w:b/>
          <w:bCs/>
          <w:color w:val="0000FF"/>
          <w:sz w:val="22"/>
          <w:szCs w:val="22"/>
        </w:rPr>
      </w:pPr>
      <w:r w:rsidRPr="00367BF6">
        <w:rPr>
          <w:rFonts w:cstheme="minorHAnsi"/>
          <w:b/>
          <w:bCs/>
          <w:color w:val="0000FF"/>
          <w:sz w:val="22"/>
          <w:szCs w:val="22"/>
        </w:rPr>
        <w:t>Workforce:</w:t>
      </w:r>
    </w:p>
    <w:p w14:paraId="61150603" w14:textId="76F61593" w:rsidR="00AB71F1" w:rsidRPr="00367BF6" w:rsidRDefault="004E7288">
      <w:pPr>
        <w:rPr>
          <w:rFonts w:cstheme="minorHAnsi"/>
          <w:color w:val="0000FF"/>
          <w:sz w:val="22"/>
          <w:szCs w:val="22"/>
        </w:rPr>
      </w:pPr>
      <w:r w:rsidRPr="00367BF6">
        <w:rPr>
          <w:rFonts w:cstheme="minorHAnsi"/>
          <w:color w:val="0000FF"/>
          <w:sz w:val="22"/>
          <w:szCs w:val="22"/>
        </w:rPr>
        <w:t>The response covered workforce recruitment &amp; retention metrics across commissioned provision in CQC registered services.</w:t>
      </w:r>
    </w:p>
    <w:p w14:paraId="59A69C04" w14:textId="67BC29C8" w:rsidR="004E7288" w:rsidRPr="00367BF6" w:rsidRDefault="004E7288">
      <w:pPr>
        <w:rPr>
          <w:rFonts w:cstheme="minorHAnsi"/>
          <w:color w:val="0000FF"/>
          <w:sz w:val="22"/>
          <w:szCs w:val="22"/>
        </w:rPr>
      </w:pPr>
    </w:p>
    <w:tbl>
      <w:tblPr>
        <w:tblStyle w:val="TableGrid"/>
        <w:tblW w:w="0" w:type="auto"/>
        <w:tblLook w:val="04A0" w:firstRow="1" w:lastRow="0" w:firstColumn="1" w:lastColumn="0" w:noHBand="0" w:noVBand="1"/>
      </w:tblPr>
      <w:tblGrid>
        <w:gridCol w:w="704"/>
        <w:gridCol w:w="7088"/>
        <w:gridCol w:w="1224"/>
      </w:tblGrid>
      <w:tr w:rsidR="00367BF6" w:rsidRPr="00367BF6" w14:paraId="283EF361" w14:textId="77777777" w:rsidTr="004E7288">
        <w:tc>
          <w:tcPr>
            <w:tcW w:w="704" w:type="dxa"/>
          </w:tcPr>
          <w:p w14:paraId="0E45E03D" w14:textId="4260744E" w:rsidR="004E7288" w:rsidRPr="00367BF6" w:rsidRDefault="00DF5DE5">
            <w:pPr>
              <w:rPr>
                <w:rFonts w:cstheme="minorHAnsi"/>
                <w:color w:val="0000FF"/>
                <w:sz w:val="22"/>
                <w:szCs w:val="22"/>
              </w:rPr>
            </w:pPr>
            <w:r w:rsidRPr="00367BF6">
              <w:rPr>
                <w:rFonts w:cstheme="minorHAnsi"/>
                <w:color w:val="0000FF"/>
                <w:sz w:val="22"/>
                <w:szCs w:val="22"/>
              </w:rPr>
              <w:t>Q</w:t>
            </w:r>
          </w:p>
        </w:tc>
        <w:tc>
          <w:tcPr>
            <w:tcW w:w="7088" w:type="dxa"/>
          </w:tcPr>
          <w:p w14:paraId="29B84919" w14:textId="39AE881C" w:rsidR="004E7288" w:rsidRPr="00367BF6" w:rsidRDefault="004E7288">
            <w:pPr>
              <w:rPr>
                <w:rFonts w:cstheme="minorHAnsi"/>
                <w:b/>
                <w:bCs/>
                <w:color w:val="0000FF"/>
                <w:sz w:val="22"/>
                <w:szCs w:val="22"/>
              </w:rPr>
            </w:pPr>
            <w:r w:rsidRPr="00367BF6">
              <w:rPr>
                <w:rFonts w:cstheme="minorHAnsi"/>
                <w:b/>
                <w:bCs/>
                <w:color w:val="0000FF"/>
                <w:sz w:val="22"/>
                <w:szCs w:val="22"/>
              </w:rPr>
              <w:t>Metric Description</w:t>
            </w:r>
          </w:p>
        </w:tc>
        <w:tc>
          <w:tcPr>
            <w:tcW w:w="1224" w:type="dxa"/>
          </w:tcPr>
          <w:p w14:paraId="1DD8FBC2" w14:textId="1DB18F83" w:rsidR="004E7288" w:rsidRPr="00367BF6" w:rsidRDefault="004E7288">
            <w:pPr>
              <w:rPr>
                <w:rFonts w:cstheme="minorHAnsi"/>
                <w:b/>
                <w:bCs/>
                <w:color w:val="0000FF"/>
                <w:sz w:val="22"/>
                <w:szCs w:val="22"/>
              </w:rPr>
            </w:pPr>
            <w:r w:rsidRPr="00367BF6">
              <w:rPr>
                <w:rFonts w:cstheme="minorHAnsi"/>
                <w:b/>
                <w:bCs/>
                <w:color w:val="0000FF"/>
                <w:sz w:val="22"/>
                <w:szCs w:val="22"/>
              </w:rPr>
              <w:t>Data Item</w:t>
            </w:r>
          </w:p>
        </w:tc>
      </w:tr>
      <w:tr w:rsidR="00367BF6" w:rsidRPr="00367BF6" w14:paraId="3D96CB27" w14:textId="77777777" w:rsidTr="004E7288">
        <w:tc>
          <w:tcPr>
            <w:tcW w:w="704" w:type="dxa"/>
          </w:tcPr>
          <w:p w14:paraId="120BA908" w14:textId="3E649FCB" w:rsidR="004E7288" w:rsidRPr="00367BF6" w:rsidRDefault="004E7288">
            <w:pPr>
              <w:rPr>
                <w:rFonts w:cstheme="minorHAnsi"/>
                <w:color w:val="0000FF"/>
                <w:sz w:val="22"/>
                <w:szCs w:val="22"/>
              </w:rPr>
            </w:pPr>
            <w:r w:rsidRPr="00367BF6">
              <w:rPr>
                <w:rFonts w:cstheme="minorHAnsi"/>
                <w:color w:val="0000FF"/>
                <w:sz w:val="22"/>
                <w:szCs w:val="22"/>
              </w:rPr>
              <w:t>1</w:t>
            </w:r>
          </w:p>
        </w:tc>
        <w:tc>
          <w:tcPr>
            <w:tcW w:w="7088" w:type="dxa"/>
          </w:tcPr>
          <w:p w14:paraId="646054BF" w14:textId="2379FD43" w:rsidR="004E7288" w:rsidRPr="00367BF6" w:rsidRDefault="004E7288">
            <w:pPr>
              <w:rPr>
                <w:rFonts w:cstheme="minorHAnsi"/>
                <w:color w:val="0000FF"/>
                <w:sz w:val="22"/>
                <w:szCs w:val="22"/>
              </w:rPr>
            </w:pPr>
            <w:r w:rsidRPr="00367BF6">
              <w:rPr>
                <w:rFonts w:cstheme="minorHAnsi"/>
                <w:color w:val="0000FF"/>
                <w:sz w:val="22"/>
                <w:szCs w:val="22"/>
              </w:rPr>
              <w:t>Total number of recruits in care providers in the authority area in April 2023.</w:t>
            </w:r>
          </w:p>
        </w:tc>
        <w:tc>
          <w:tcPr>
            <w:tcW w:w="1224" w:type="dxa"/>
          </w:tcPr>
          <w:p w14:paraId="5EA0101B" w14:textId="429222D0" w:rsidR="004E7288" w:rsidRPr="00367BF6" w:rsidRDefault="004E7288">
            <w:pPr>
              <w:rPr>
                <w:rFonts w:cstheme="minorHAnsi"/>
                <w:color w:val="0000FF"/>
                <w:sz w:val="22"/>
                <w:szCs w:val="22"/>
              </w:rPr>
            </w:pPr>
            <w:r w:rsidRPr="00367BF6">
              <w:rPr>
                <w:rFonts w:cstheme="minorHAnsi"/>
                <w:color w:val="0000FF"/>
                <w:sz w:val="22"/>
                <w:szCs w:val="22"/>
              </w:rPr>
              <w:t>317.00</w:t>
            </w:r>
          </w:p>
        </w:tc>
      </w:tr>
      <w:tr w:rsidR="00367BF6" w:rsidRPr="00367BF6" w14:paraId="1185D820" w14:textId="77777777" w:rsidTr="004E7288">
        <w:tc>
          <w:tcPr>
            <w:tcW w:w="704" w:type="dxa"/>
          </w:tcPr>
          <w:p w14:paraId="5CFC6DDC" w14:textId="3552F88D" w:rsidR="004E7288" w:rsidRPr="00367BF6" w:rsidRDefault="004E7288">
            <w:pPr>
              <w:rPr>
                <w:rFonts w:cstheme="minorHAnsi"/>
                <w:color w:val="0000FF"/>
                <w:sz w:val="22"/>
                <w:szCs w:val="22"/>
              </w:rPr>
            </w:pPr>
            <w:r w:rsidRPr="00367BF6">
              <w:rPr>
                <w:rFonts w:cstheme="minorHAnsi"/>
                <w:color w:val="0000FF"/>
                <w:sz w:val="22"/>
                <w:szCs w:val="22"/>
              </w:rPr>
              <w:t>2</w:t>
            </w:r>
          </w:p>
        </w:tc>
        <w:tc>
          <w:tcPr>
            <w:tcW w:w="7088" w:type="dxa"/>
          </w:tcPr>
          <w:p w14:paraId="5B0F70D4" w14:textId="11579C4B" w:rsidR="004E7288" w:rsidRPr="00367BF6" w:rsidRDefault="004E7288">
            <w:pPr>
              <w:rPr>
                <w:rFonts w:cstheme="minorHAnsi"/>
                <w:color w:val="0000FF"/>
                <w:sz w:val="22"/>
                <w:szCs w:val="22"/>
              </w:rPr>
            </w:pPr>
            <w:r w:rsidRPr="00367BF6">
              <w:rPr>
                <w:rFonts w:cstheme="minorHAnsi"/>
                <w:color w:val="0000FF"/>
                <w:sz w:val="22"/>
                <w:szCs w:val="22"/>
              </w:rPr>
              <w:t>Total number of staff leaving a job with a care provider in the authority area in April 2023.</w:t>
            </w:r>
          </w:p>
        </w:tc>
        <w:tc>
          <w:tcPr>
            <w:tcW w:w="1224" w:type="dxa"/>
          </w:tcPr>
          <w:p w14:paraId="7A686208" w14:textId="473F6C7B" w:rsidR="004E7288" w:rsidRPr="00367BF6" w:rsidRDefault="004E7288">
            <w:pPr>
              <w:rPr>
                <w:rFonts w:cstheme="minorHAnsi"/>
                <w:color w:val="0000FF"/>
                <w:sz w:val="22"/>
                <w:szCs w:val="22"/>
              </w:rPr>
            </w:pPr>
            <w:r w:rsidRPr="00367BF6">
              <w:rPr>
                <w:rFonts w:cstheme="minorHAnsi"/>
                <w:color w:val="0000FF"/>
                <w:sz w:val="22"/>
                <w:szCs w:val="22"/>
              </w:rPr>
              <w:t>146.00</w:t>
            </w:r>
          </w:p>
        </w:tc>
      </w:tr>
      <w:tr w:rsidR="00367BF6" w:rsidRPr="00367BF6" w14:paraId="6A8B5234" w14:textId="77777777" w:rsidTr="004E7288">
        <w:tc>
          <w:tcPr>
            <w:tcW w:w="704" w:type="dxa"/>
          </w:tcPr>
          <w:p w14:paraId="56C109FB" w14:textId="286A840C" w:rsidR="004E7288" w:rsidRPr="00367BF6" w:rsidRDefault="004E7288">
            <w:pPr>
              <w:rPr>
                <w:rFonts w:cstheme="minorHAnsi"/>
                <w:color w:val="0000FF"/>
                <w:sz w:val="22"/>
                <w:szCs w:val="22"/>
              </w:rPr>
            </w:pPr>
            <w:r w:rsidRPr="00367BF6">
              <w:rPr>
                <w:rFonts w:cstheme="minorHAnsi"/>
                <w:color w:val="0000FF"/>
                <w:sz w:val="22"/>
                <w:szCs w:val="22"/>
              </w:rPr>
              <w:t>3a</w:t>
            </w:r>
          </w:p>
        </w:tc>
        <w:tc>
          <w:tcPr>
            <w:tcW w:w="7088" w:type="dxa"/>
          </w:tcPr>
          <w:p w14:paraId="46A8D187" w14:textId="011DB39C" w:rsidR="004E7288" w:rsidRPr="00367BF6" w:rsidRDefault="004E7288">
            <w:pPr>
              <w:rPr>
                <w:rFonts w:cstheme="minorHAnsi"/>
                <w:color w:val="0000FF"/>
                <w:sz w:val="22"/>
                <w:szCs w:val="22"/>
              </w:rPr>
            </w:pPr>
            <w:r w:rsidRPr="00367BF6">
              <w:rPr>
                <w:rFonts w:cstheme="minorHAnsi"/>
                <w:color w:val="0000FF"/>
                <w:sz w:val="22"/>
                <w:szCs w:val="22"/>
              </w:rPr>
              <w:t xml:space="preserve">Total number of providers </w:t>
            </w:r>
            <w:r w:rsidR="00DF5DE5" w:rsidRPr="00367BF6">
              <w:rPr>
                <w:rFonts w:cstheme="minorHAnsi"/>
                <w:color w:val="0000FF"/>
                <w:sz w:val="22"/>
                <w:szCs w:val="22"/>
              </w:rPr>
              <w:t xml:space="preserve">who provided the information to Q1.  </w:t>
            </w:r>
          </w:p>
        </w:tc>
        <w:tc>
          <w:tcPr>
            <w:tcW w:w="1224" w:type="dxa"/>
          </w:tcPr>
          <w:p w14:paraId="557AFEBC" w14:textId="5BACFCC3" w:rsidR="004E7288" w:rsidRPr="00367BF6" w:rsidRDefault="004E7288">
            <w:pPr>
              <w:rPr>
                <w:rFonts w:cstheme="minorHAnsi"/>
                <w:color w:val="0000FF"/>
                <w:sz w:val="22"/>
                <w:szCs w:val="22"/>
              </w:rPr>
            </w:pPr>
            <w:r w:rsidRPr="00367BF6">
              <w:rPr>
                <w:rFonts w:cstheme="minorHAnsi"/>
                <w:color w:val="0000FF"/>
                <w:sz w:val="22"/>
                <w:szCs w:val="22"/>
              </w:rPr>
              <w:t>133.00</w:t>
            </w:r>
          </w:p>
        </w:tc>
      </w:tr>
      <w:tr w:rsidR="00367BF6" w:rsidRPr="00367BF6" w14:paraId="1E7970E8" w14:textId="77777777" w:rsidTr="004E7288">
        <w:tc>
          <w:tcPr>
            <w:tcW w:w="704" w:type="dxa"/>
          </w:tcPr>
          <w:p w14:paraId="7DDD81E8" w14:textId="74DEA231" w:rsidR="004E7288" w:rsidRPr="00367BF6" w:rsidRDefault="004E7288">
            <w:pPr>
              <w:rPr>
                <w:rFonts w:cstheme="minorHAnsi"/>
                <w:color w:val="0000FF"/>
                <w:sz w:val="22"/>
                <w:szCs w:val="22"/>
              </w:rPr>
            </w:pPr>
            <w:r w:rsidRPr="00367BF6">
              <w:rPr>
                <w:rFonts w:cstheme="minorHAnsi"/>
                <w:color w:val="0000FF"/>
                <w:sz w:val="22"/>
                <w:szCs w:val="22"/>
              </w:rPr>
              <w:t>3b</w:t>
            </w:r>
          </w:p>
        </w:tc>
        <w:tc>
          <w:tcPr>
            <w:tcW w:w="7088" w:type="dxa"/>
          </w:tcPr>
          <w:p w14:paraId="35CDAC80" w14:textId="1A927EF8" w:rsidR="004E7288" w:rsidRPr="00367BF6" w:rsidRDefault="00DF5DE5">
            <w:pPr>
              <w:rPr>
                <w:rFonts w:cstheme="minorHAnsi"/>
                <w:color w:val="0000FF"/>
                <w:sz w:val="22"/>
                <w:szCs w:val="22"/>
              </w:rPr>
            </w:pPr>
            <w:r w:rsidRPr="00367BF6">
              <w:rPr>
                <w:rFonts w:cstheme="minorHAnsi"/>
                <w:color w:val="0000FF"/>
                <w:sz w:val="22"/>
                <w:szCs w:val="22"/>
              </w:rPr>
              <w:t>Total number of providers who provided the information to Q2.</w:t>
            </w:r>
          </w:p>
        </w:tc>
        <w:tc>
          <w:tcPr>
            <w:tcW w:w="1224" w:type="dxa"/>
          </w:tcPr>
          <w:p w14:paraId="2E5F70DC" w14:textId="360168EF" w:rsidR="004E7288" w:rsidRPr="00367BF6" w:rsidRDefault="004E7288">
            <w:pPr>
              <w:rPr>
                <w:rFonts w:cstheme="minorHAnsi"/>
                <w:color w:val="0000FF"/>
                <w:sz w:val="22"/>
                <w:szCs w:val="22"/>
              </w:rPr>
            </w:pPr>
            <w:r w:rsidRPr="00367BF6">
              <w:rPr>
                <w:rFonts w:cstheme="minorHAnsi"/>
                <w:color w:val="0000FF"/>
                <w:sz w:val="22"/>
                <w:szCs w:val="22"/>
              </w:rPr>
              <w:t>133.00</w:t>
            </w:r>
          </w:p>
        </w:tc>
      </w:tr>
      <w:tr w:rsidR="004E7288" w:rsidRPr="00367BF6" w14:paraId="733F69DF" w14:textId="77777777" w:rsidTr="004E7288">
        <w:tc>
          <w:tcPr>
            <w:tcW w:w="704" w:type="dxa"/>
          </w:tcPr>
          <w:p w14:paraId="33ED249C" w14:textId="1C0121E5" w:rsidR="004E7288" w:rsidRPr="00367BF6" w:rsidRDefault="004E7288">
            <w:pPr>
              <w:rPr>
                <w:rFonts w:cstheme="minorHAnsi"/>
                <w:color w:val="0000FF"/>
                <w:sz w:val="22"/>
                <w:szCs w:val="22"/>
              </w:rPr>
            </w:pPr>
            <w:r w:rsidRPr="00367BF6">
              <w:rPr>
                <w:rFonts w:cstheme="minorHAnsi"/>
                <w:color w:val="0000FF"/>
                <w:sz w:val="22"/>
                <w:szCs w:val="22"/>
              </w:rPr>
              <w:t>4</w:t>
            </w:r>
          </w:p>
        </w:tc>
        <w:tc>
          <w:tcPr>
            <w:tcW w:w="7088" w:type="dxa"/>
          </w:tcPr>
          <w:p w14:paraId="2BA25495" w14:textId="497EA526" w:rsidR="004E7288" w:rsidRPr="00367BF6" w:rsidRDefault="00DF5DE5">
            <w:pPr>
              <w:rPr>
                <w:rFonts w:cstheme="minorHAnsi"/>
                <w:color w:val="0000FF"/>
                <w:sz w:val="22"/>
                <w:szCs w:val="22"/>
              </w:rPr>
            </w:pPr>
            <w:r w:rsidRPr="00367BF6">
              <w:rPr>
                <w:rFonts w:cstheme="minorHAnsi"/>
                <w:color w:val="0000FF"/>
                <w:sz w:val="22"/>
                <w:szCs w:val="22"/>
              </w:rPr>
              <w:t>Total number of providers eligible to provide the information.</w:t>
            </w:r>
          </w:p>
        </w:tc>
        <w:tc>
          <w:tcPr>
            <w:tcW w:w="1224" w:type="dxa"/>
          </w:tcPr>
          <w:p w14:paraId="0D939ECA" w14:textId="63927C92" w:rsidR="004E7288" w:rsidRPr="00367BF6" w:rsidRDefault="004E7288">
            <w:pPr>
              <w:rPr>
                <w:rFonts w:cstheme="minorHAnsi"/>
                <w:color w:val="0000FF"/>
                <w:sz w:val="22"/>
                <w:szCs w:val="22"/>
              </w:rPr>
            </w:pPr>
            <w:r w:rsidRPr="00367BF6">
              <w:rPr>
                <w:rFonts w:cstheme="minorHAnsi"/>
                <w:color w:val="0000FF"/>
                <w:sz w:val="22"/>
                <w:szCs w:val="22"/>
              </w:rPr>
              <w:t>139.00</w:t>
            </w:r>
          </w:p>
        </w:tc>
      </w:tr>
    </w:tbl>
    <w:p w14:paraId="389BBFD0" w14:textId="77777777" w:rsidR="004E7288" w:rsidRPr="00367BF6" w:rsidRDefault="004E7288">
      <w:pPr>
        <w:rPr>
          <w:rFonts w:cstheme="minorHAnsi"/>
          <w:color w:val="0000FF"/>
          <w:sz w:val="22"/>
          <w:szCs w:val="22"/>
        </w:rPr>
      </w:pPr>
    </w:p>
    <w:p w14:paraId="65085400" w14:textId="77777777" w:rsidR="00B908B4" w:rsidRDefault="00B908B4">
      <w:pPr>
        <w:rPr>
          <w:rFonts w:cstheme="minorHAnsi"/>
          <w:sz w:val="22"/>
          <w:szCs w:val="22"/>
        </w:rPr>
      </w:pPr>
    </w:p>
    <w:p w14:paraId="2E9C0D87" w14:textId="17438352" w:rsidR="00483889" w:rsidRPr="007C3313" w:rsidRDefault="003A7CB6">
      <w:pPr>
        <w:rPr>
          <w:rFonts w:cstheme="minorHAnsi"/>
          <w:color w:val="FF0000"/>
          <w:sz w:val="22"/>
          <w:szCs w:val="22"/>
        </w:rPr>
      </w:pPr>
      <w:r w:rsidRPr="003A7CB6">
        <w:rPr>
          <w:rFonts w:cstheme="minorHAnsi"/>
          <w:sz w:val="22"/>
          <w:szCs w:val="22"/>
        </w:rPr>
        <w:t>Q8) For the period 1</w:t>
      </w:r>
      <w:r w:rsidRPr="003A7CB6">
        <w:rPr>
          <w:rFonts w:cstheme="minorHAnsi"/>
          <w:i/>
          <w:iCs/>
          <w:sz w:val="22"/>
          <w:szCs w:val="22"/>
        </w:rPr>
        <w:t>st</w:t>
      </w:r>
      <w:r w:rsidRPr="003A7CB6">
        <w:rPr>
          <w:rFonts w:cstheme="minorHAnsi"/>
          <w:sz w:val="22"/>
          <w:szCs w:val="22"/>
        </w:rPr>
        <w:t xml:space="preserve"> April 2022 to 31</w:t>
      </w:r>
      <w:r w:rsidRPr="003A7CB6">
        <w:rPr>
          <w:rFonts w:cstheme="minorHAnsi"/>
          <w:i/>
          <w:iCs/>
          <w:sz w:val="22"/>
          <w:szCs w:val="22"/>
        </w:rPr>
        <w:t>st</w:t>
      </w:r>
      <w:r w:rsidRPr="003A7CB6">
        <w:rPr>
          <w:rFonts w:cstheme="minorHAnsi"/>
          <w:sz w:val="22"/>
          <w:szCs w:val="22"/>
        </w:rPr>
        <w:t xml:space="preserve"> March 2023, please provide the number of </w:t>
      </w:r>
      <w:r w:rsidRPr="003A7CB6">
        <w:rPr>
          <w:rFonts w:cstheme="minorHAnsi"/>
          <w:b/>
          <w:bCs/>
          <w:sz w:val="22"/>
          <w:szCs w:val="22"/>
          <w:u w:val="single"/>
        </w:rPr>
        <w:t>individual residents</w:t>
      </w:r>
      <w:r w:rsidRPr="003A7CB6">
        <w:rPr>
          <w:rFonts w:cstheme="minorHAnsi"/>
          <w:sz w:val="22"/>
          <w:szCs w:val="22"/>
        </w:rPr>
        <w:t>, where their contracts for the provision of Older Person Services for both residential care and nursing care were either terminated by the care provider, handed back by the care provider, or were renegotiated due to the threat or notice of termination/handing back was made by the care provider.  You should provide the number of residents this applies to and the number of care providers.</w:t>
      </w:r>
    </w:p>
    <w:p w14:paraId="1F5C38F7" w14:textId="6D808290" w:rsidR="00F944D4" w:rsidRPr="007C3313" w:rsidRDefault="00F944D4">
      <w:pPr>
        <w:rPr>
          <w:rFonts w:cstheme="minorHAnsi"/>
          <w:color w:val="FF0000"/>
          <w:sz w:val="22"/>
          <w:szCs w:val="22"/>
        </w:rPr>
      </w:pPr>
    </w:p>
    <w:tbl>
      <w:tblPr>
        <w:tblStyle w:val="TableGrid"/>
        <w:tblW w:w="0" w:type="auto"/>
        <w:tblLook w:val="04A0" w:firstRow="1" w:lastRow="0" w:firstColumn="1" w:lastColumn="0" w:noHBand="0" w:noVBand="1"/>
      </w:tblPr>
      <w:tblGrid>
        <w:gridCol w:w="2405"/>
        <w:gridCol w:w="2268"/>
      </w:tblGrid>
      <w:tr w:rsidR="007C3313" w:rsidRPr="007C3313" w14:paraId="3E9DE38F" w14:textId="77777777" w:rsidTr="002E3E1D">
        <w:tc>
          <w:tcPr>
            <w:tcW w:w="2405" w:type="dxa"/>
          </w:tcPr>
          <w:p w14:paraId="39668C34" w14:textId="3C1D8A16" w:rsidR="002E3E1D" w:rsidRPr="00367BF6" w:rsidRDefault="002E3E1D">
            <w:pPr>
              <w:rPr>
                <w:rFonts w:cstheme="minorHAnsi"/>
                <w:b/>
                <w:bCs/>
                <w:color w:val="0000FF"/>
                <w:sz w:val="22"/>
                <w:szCs w:val="22"/>
              </w:rPr>
            </w:pPr>
            <w:bookmarkStart w:id="3" w:name="_GoBack" w:colFirst="0" w:colLast="1"/>
            <w:r w:rsidRPr="00367BF6">
              <w:rPr>
                <w:rFonts w:cstheme="minorHAnsi"/>
                <w:b/>
                <w:bCs/>
                <w:color w:val="0000FF"/>
                <w:sz w:val="22"/>
                <w:szCs w:val="22"/>
              </w:rPr>
              <w:t>Number of Care homes</w:t>
            </w:r>
          </w:p>
        </w:tc>
        <w:tc>
          <w:tcPr>
            <w:tcW w:w="2268" w:type="dxa"/>
          </w:tcPr>
          <w:p w14:paraId="2E1D8C58" w14:textId="72EA8723" w:rsidR="002E3E1D" w:rsidRPr="00367BF6" w:rsidRDefault="002E3E1D">
            <w:pPr>
              <w:rPr>
                <w:rFonts w:cstheme="minorHAnsi"/>
                <w:b/>
                <w:bCs/>
                <w:color w:val="0000FF"/>
                <w:sz w:val="22"/>
                <w:szCs w:val="22"/>
              </w:rPr>
            </w:pPr>
            <w:r w:rsidRPr="00367BF6">
              <w:rPr>
                <w:rFonts w:cstheme="minorHAnsi"/>
                <w:b/>
                <w:bCs/>
                <w:color w:val="0000FF"/>
                <w:sz w:val="22"/>
                <w:szCs w:val="22"/>
              </w:rPr>
              <w:t>Residents Impacted</w:t>
            </w:r>
          </w:p>
        </w:tc>
      </w:tr>
      <w:tr w:rsidR="007C3313" w:rsidRPr="007C3313" w14:paraId="25780A90" w14:textId="77777777" w:rsidTr="002E3E1D">
        <w:tc>
          <w:tcPr>
            <w:tcW w:w="2405" w:type="dxa"/>
          </w:tcPr>
          <w:p w14:paraId="4A2FCBC0" w14:textId="761D1E2B" w:rsidR="002E3E1D" w:rsidRPr="00367BF6" w:rsidRDefault="0049715B">
            <w:pPr>
              <w:rPr>
                <w:rFonts w:cstheme="minorHAnsi"/>
                <w:color w:val="0000FF"/>
                <w:sz w:val="22"/>
                <w:szCs w:val="22"/>
              </w:rPr>
            </w:pPr>
            <w:r w:rsidRPr="00367BF6">
              <w:rPr>
                <w:rFonts w:cstheme="minorHAnsi"/>
                <w:color w:val="0000FF"/>
                <w:sz w:val="22"/>
                <w:szCs w:val="22"/>
              </w:rPr>
              <w:t>5</w:t>
            </w:r>
          </w:p>
        </w:tc>
        <w:tc>
          <w:tcPr>
            <w:tcW w:w="2268" w:type="dxa"/>
          </w:tcPr>
          <w:p w14:paraId="26A866AF" w14:textId="70BDD7EC" w:rsidR="002E3E1D" w:rsidRPr="00367BF6" w:rsidRDefault="00577556">
            <w:pPr>
              <w:rPr>
                <w:rFonts w:cstheme="minorHAnsi"/>
                <w:color w:val="0000FF"/>
                <w:sz w:val="22"/>
                <w:szCs w:val="22"/>
              </w:rPr>
            </w:pPr>
            <w:r w:rsidRPr="00367BF6">
              <w:rPr>
                <w:rFonts w:cstheme="minorHAnsi"/>
                <w:color w:val="0000FF"/>
                <w:sz w:val="22"/>
                <w:szCs w:val="22"/>
              </w:rPr>
              <w:t>101</w:t>
            </w:r>
          </w:p>
        </w:tc>
      </w:tr>
      <w:bookmarkEnd w:id="3"/>
    </w:tbl>
    <w:p w14:paraId="761DB962" w14:textId="77777777" w:rsidR="002E3E1D" w:rsidRPr="007C3313" w:rsidRDefault="002E3E1D">
      <w:pPr>
        <w:rPr>
          <w:rFonts w:cstheme="minorHAnsi"/>
          <w:color w:val="FF0000"/>
          <w:sz w:val="22"/>
          <w:szCs w:val="22"/>
        </w:rPr>
      </w:pPr>
    </w:p>
    <w:sectPr w:rsidR="002E3E1D" w:rsidRPr="007C33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4E4DD" w14:textId="77777777" w:rsidR="008E17CA" w:rsidRDefault="008E17CA" w:rsidP="00A65D41">
      <w:r>
        <w:separator/>
      </w:r>
    </w:p>
  </w:endnote>
  <w:endnote w:type="continuationSeparator" w:id="0">
    <w:p w14:paraId="0AB8F03F" w14:textId="77777777" w:rsidR="008E17CA" w:rsidRDefault="008E17CA" w:rsidP="00A6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8140D" w14:textId="77777777" w:rsidR="008E17CA" w:rsidRDefault="008E17CA" w:rsidP="00A65D41">
      <w:r>
        <w:separator/>
      </w:r>
    </w:p>
  </w:footnote>
  <w:footnote w:type="continuationSeparator" w:id="0">
    <w:p w14:paraId="45582780" w14:textId="77777777" w:rsidR="008E17CA" w:rsidRDefault="008E17CA" w:rsidP="00A65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586"/>
    <w:multiLevelType w:val="hybridMultilevel"/>
    <w:tmpl w:val="9368A4B4"/>
    <w:lvl w:ilvl="0" w:tplc="2FDA1B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44713"/>
    <w:multiLevelType w:val="hybridMultilevel"/>
    <w:tmpl w:val="7ED429C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0B262F"/>
    <w:multiLevelType w:val="hybridMultilevel"/>
    <w:tmpl w:val="7ED429C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0A4B29"/>
    <w:multiLevelType w:val="hybridMultilevel"/>
    <w:tmpl w:val="E364FC1E"/>
    <w:lvl w:ilvl="0" w:tplc="B4F2601A">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995137"/>
    <w:multiLevelType w:val="hybridMultilevel"/>
    <w:tmpl w:val="943E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03147"/>
    <w:multiLevelType w:val="hybridMultilevel"/>
    <w:tmpl w:val="F998C6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602E6"/>
    <w:multiLevelType w:val="hybridMultilevel"/>
    <w:tmpl w:val="7ED429C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A8043C"/>
    <w:multiLevelType w:val="hybridMultilevel"/>
    <w:tmpl w:val="7ED429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B80E43"/>
    <w:multiLevelType w:val="hybridMultilevel"/>
    <w:tmpl w:val="7ED429C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C916CC"/>
    <w:multiLevelType w:val="hybridMultilevel"/>
    <w:tmpl w:val="C8FE47D8"/>
    <w:lvl w:ilvl="0" w:tplc="40CEAF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5788D"/>
    <w:multiLevelType w:val="hybridMultilevel"/>
    <w:tmpl w:val="7ED429C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8854CE"/>
    <w:multiLevelType w:val="hybridMultilevel"/>
    <w:tmpl w:val="AC9671E4"/>
    <w:lvl w:ilvl="0" w:tplc="997A7784">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9A5770E"/>
    <w:multiLevelType w:val="hybridMultilevel"/>
    <w:tmpl w:val="7ED429C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0"/>
  </w:num>
  <w:num w:numId="6">
    <w:abstractNumId w:val="9"/>
  </w:num>
  <w:num w:numId="7">
    <w:abstractNumId w:val="10"/>
  </w:num>
  <w:num w:numId="8">
    <w:abstractNumId w:val="1"/>
  </w:num>
  <w:num w:numId="9">
    <w:abstractNumId w:val="12"/>
  </w:num>
  <w:num w:numId="10">
    <w:abstractNumId w:val="11"/>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41"/>
    <w:rsid w:val="0002776E"/>
    <w:rsid w:val="000378A3"/>
    <w:rsid w:val="00072AD2"/>
    <w:rsid w:val="000B0E50"/>
    <w:rsid w:val="00123FED"/>
    <w:rsid w:val="00127935"/>
    <w:rsid w:val="001B2866"/>
    <w:rsid w:val="001C1C4B"/>
    <w:rsid w:val="001C3623"/>
    <w:rsid w:val="001E04CB"/>
    <w:rsid w:val="001F163D"/>
    <w:rsid w:val="0020081E"/>
    <w:rsid w:val="00207004"/>
    <w:rsid w:val="0020702E"/>
    <w:rsid w:val="00211EA9"/>
    <w:rsid w:val="002517B3"/>
    <w:rsid w:val="00255E3C"/>
    <w:rsid w:val="002677DD"/>
    <w:rsid w:val="002938DB"/>
    <w:rsid w:val="002C1D96"/>
    <w:rsid w:val="002E3E1D"/>
    <w:rsid w:val="002E50CC"/>
    <w:rsid w:val="00360653"/>
    <w:rsid w:val="00367BF6"/>
    <w:rsid w:val="003A7CB6"/>
    <w:rsid w:val="003C27EB"/>
    <w:rsid w:val="003C5579"/>
    <w:rsid w:val="003D535E"/>
    <w:rsid w:val="003E5E1D"/>
    <w:rsid w:val="0047202B"/>
    <w:rsid w:val="00483889"/>
    <w:rsid w:val="0049715B"/>
    <w:rsid w:val="004E00A3"/>
    <w:rsid w:val="004E7288"/>
    <w:rsid w:val="00577556"/>
    <w:rsid w:val="00591B2B"/>
    <w:rsid w:val="005B7330"/>
    <w:rsid w:val="006344CA"/>
    <w:rsid w:val="00642C0F"/>
    <w:rsid w:val="006847E3"/>
    <w:rsid w:val="006C1257"/>
    <w:rsid w:val="00741A03"/>
    <w:rsid w:val="0076560A"/>
    <w:rsid w:val="007766C1"/>
    <w:rsid w:val="00797615"/>
    <w:rsid w:val="007A2653"/>
    <w:rsid w:val="007A6FC6"/>
    <w:rsid w:val="007C3313"/>
    <w:rsid w:val="007C6248"/>
    <w:rsid w:val="00862C58"/>
    <w:rsid w:val="008A12A8"/>
    <w:rsid w:val="008E17CA"/>
    <w:rsid w:val="0092442C"/>
    <w:rsid w:val="009720BE"/>
    <w:rsid w:val="009D6633"/>
    <w:rsid w:val="00A455A5"/>
    <w:rsid w:val="00A65D41"/>
    <w:rsid w:val="00A87661"/>
    <w:rsid w:val="00AB71F1"/>
    <w:rsid w:val="00AE30F9"/>
    <w:rsid w:val="00B841E1"/>
    <w:rsid w:val="00B908B4"/>
    <w:rsid w:val="00BC54F2"/>
    <w:rsid w:val="00C651F3"/>
    <w:rsid w:val="00C956BD"/>
    <w:rsid w:val="00CD2986"/>
    <w:rsid w:val="00CF4750"/>
    <w:rsid w:val="00DB5836"/>
    <w:rsid w:val="00DF5DE5"/>
    <w:rsid w:val="00E225C8"/>
    <w:rsid w:val="00E255F2"/>
    <w:rsid w:val="00E3430E"/>
    <w:rsid w:val="00E56304"/>
    <w:rsid w:val="00EB4324"/>
    <w:rsid w:val="00ED6D30"/>
    <w:rsid w:val="00ED6F05"/>
    <w:rsid w:val="00EE0A7A"/>
    <w:rsid w:val="00F30E76"/>
    <w:rsid w:val="00F35547"/>
    <w:rsid w:val="00F60981"/>
    <w:rsid w:val="00F6490D"/>
    <w:rsid w:val="00F944D4"/>
    <w:rsid w:val="00FA2875"/>
    <w:rsid w:val="00FB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3ABAE0"/>
  <w15:chartTrackingRefBased/>
  <w15:docId w15:val="{7E261B6F-0726-4F21-9F4E-1008A2D9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986"/>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D41"/>
    <w:pPr>
      <w:tabs>
        <w:tab w:val="center" w:pos="4513"/>
        <w:tab w:val="right" w:pos="9026"/>
      </w:tabs>
    </w:pPr>
  </w:style>
  <w:style w:type="character" w:customStyle="1" w:styleId="HeaderChar">
    <w:name w:val="Header Char"/>
    <w:basedOn w:val="DefaultParagraphFont"/>
    <w:link w:val="Header"/>
    <w:uiPriority w:val="99"/>
    <w:rsid w:val="00A65D41"/>
    <w:rPr>
      <w:kern w:val="0"/>
      <w:sz w:val="24"/>
      <w:szCs w:val="24"/>
      <w14:ligatures w14:val="none"/>
    </w:rPr>
  </w:style>
  <w:style w:type="paragraph" w:styleId="Footer">
    <w:name w:val="footer"/>
    <w:basedOn w:val="Normal"/>
    <w:link w:val="FooterChar"/>
    <w:uiPriority w:val="99"/>
    <w:unhideWhenUsed/>
    <w:rsid w:val="00A65D41"/>
    <w:pPr>
      <w:tabs>
        <w:tab w:val="center" w:pos="4513"/>
        <w:tab w:val="right" w:pos="9026"/>
      </w:tabs>
    </w:pPr>
  </w:style>
  <w:style w:type="character" w:customStyle="1" w:styleId="FooterChar">
    <w:name w:val="Footer Char"/>
    <w:basedOn w:val="DefaultParagraphFont"/>
    <w:link w:val="Footer"/>
    <w:uiPriority w:val="99"/>
    <w:rsid w:val="00A65D41"/>
    <w:rPr>
      <w:kern w:val="0"/>
      <w:sz w:val="24"/>
      <w:szCs w:val="24"/>
      <w14:ligatures w14:val="none"/>
    </w:rPr>
  </w:style>
  <w:style w:type="paragraph" w:styleId="ListParagraph">
    <w:name w:val="List Paragraph"/>
    <w:basedOn w:val="Normal"/>
    <w:uiPriority w:val="34"/>
    <w:qFormat/>
    <w:rsid w:val="00A65D41"/>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211EA9"/>
    <w:pPr>
      <w:spacing w:after="0" w:line="240" w:lineRule="auto"/>
    </w:pPr>
    <w:rPr>
      <w:kern w:val="0"/>
      <w:sz w:val="24"/>
      <w:szCs w:val="24"/>
      <w14:ligatures w14:val="none"/>
    </w:rPr>
  </w:style>
  <w:style w:type="paragraph" w:styleId="Revision">
    <w:name w:val="Revision"/>
    <w:hidden/>
    <w:uiPriority w:val="99"/>
    <w:semiHidden/>
    <w:rsid w:val="00591B2B"/>
    <w:pPr>
      <w:spacing w:after="0" w:line="240" w:lineRule="auto"/>
    </w:pPr>
    <w:rPr>
      <w:kern w:val="0"/>
      <w:sz w:val="24"/>
      <w:szCs w:val="24"/>
      <w14:ligatures w14:val="none"/>
    </w:rPr>
  </w:style>
  <w:style w:type="character" w:styleId="Hyperlink">
    <w:name w:val="Hyperlink"/>
    <w:basedOn w:val="DefaultParagraphFont"/>
    <w:uiPriority w:val="99"/>
    <w:unhideWhenUsed/>
    <w:rsid w:val="00B908B4"/>
    <w:rPr>
      <w:color w:val="0563C1" w:themeColor="hyperlink"/>
      <w:u w:val="single"/>
    </w:rPr>
  </w:style>
  <w:style w:type="character" w:customStyle="1" w:styleId="UnresolvedMention">
    <w:name w:val="Unresolved Mention"/>
    <w:basedOn w:val="DefaultParagraphFont"/>
    <w:uiPriority w:val="99"/>
    <w:semiHidden/>
    <w:unhideWhenUsed/>
    <w:rsid w:val="00B908B4"/>
    <w:rPr>
      <w:color w:val="605E5C"/>
      <w:shd w:val="clear" w:color="auto" w:fill="E1DFDD"/>
    </w:rPr>
  </w:style>
  <w:style w:type="table" w:styleId="TableGrid">
    <w:name w:val="Table Grid"/>
    <w:basedOn w:val="TableNormal"/>
    <w:uiPriority w:val="39"/>
    <w:rsid w:val="002E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market-sustainability-and-improvement-fund-2023-to-2024" TargetMode="External"/><Relationship Id="rId4" Type="http://schemas.openxmlformats.org/officeDocument/2006/relationships/webSettings" Target="webSettings.xml"/><Relationship Id="rId9" Type="http://schemas.openxmlformats.org/officeDocument/2006/relationships/hyperlink" Target="https://www.leicester.gov.uk/your-council/policies-plans-and-strategies/social-care-and-education/market-sustainability-plans-for-residential-and-nursing-care-65-and-home-care-18-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Rickatson</dc:creator>
  <cp:keywords/>
  <dc:description/>
  <cp:lastModifiedBy>Tracy Loach</cp:lastModifiedBy>
  <cp:revision>3</cp:revision>
  <dcterms:created xsi:type="dcterms:W3CDTF">2023-06-19T15:23:00Z</dcterms:created>
  <dcterms:modified xsi:type="dcterms:W3CDTF">2023-06-19T15:25:00Z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60d3b85f-4ec3-48fb-a090-cd85267a913e</vt:lpwstr>
  </property>
</Properties>
</file>